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80"/>
        </w:tabs>
        <w:adjustRightInd w:val="0"/>
        <w:snapToGrid w:val="0"/>
        <w:spacing w:line="360" w:lineRule="exact"/>
        <w:ind w:leftChars="200"/>
        <w:jc w:val="center"/>
        <w:rPr>
          <w:rFonts w:hint="eastAsia" w:asciiTheme="minorEastAsia" w:hAnsiTheme="minorEastAsia" w:cs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32"/>
          <w:szCs w:val="32"/>
          <w:lang w:val="en-US" w:eastAsia="zh-CN"/>
        </w:rPr>
        <w:t>天门市第一人民医院DRGs评价软件技术参数</w:t>
      </w:r>
    </w:p>
    <w:p>
      <w:pPr>
        <w:pStyle w:val="2"/>
        <w:spacing w:line="360" w:lineRule="auto"/>
        <w:rPr>
          <w:rFonts w:hint="eastAsia" w:asciiTheme="minorEastAsia" w:hAnsiTheme="minorEastAsia" w:cstheme="minorEastAsia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tabs>
          <w:tab w:val="left" w:pos="1080"/>
        </w:tabs>
        <w:adjustRightInd w:val="0"/>
        <w:snapToGrid w:val="0"/>
        <w:spacing w:line="360" w:lineRule="auto"/>
        <w:ind w:leftChars="200"/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项目背景</w:t>
      </w:r>
    </w:p>
    <w:p>
      <w:pPr>
        <w:tabs>
          <w:tab w:val="left" w:pos="1080"/>
        </w:tabs>
        <w:adjustRightInd w:val="0"/>
        <w:snapToGrid w:val="0"/>
        <w:spacing w:line="240" w:lineRule="auto"/>
        <w:ind w:firstLine="48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随着我国老龄化时代的到来，医疗保险短期和长期收支平衡难以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持，引进DRG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作为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管理工具，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DRG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支付方式改革，替代目前使用的按项目付费，能使医、保、患三方达到共识，各自利益最大化。2019年，国家医保局、财政部、国家卫生健康委和国家中医药局联合印发的《关于印发按疾病诊断相关分组付费国家试点城市名单的通知》（医保发﹝2019﹞34 号），提出深化医保支付方式改革，加快推动按疾病诊断相关分组（DRG）付费国家试点工作的开展。</w:t>
      </w:r>
    </w:p>
    <w:p>
      <w:pPr>
        <w:numPr>
          <w:ilvl w:val="0"/>
          <w:numId w:val="0"/>
        </w:numPr>
        <w:tabs>
          <w:tab w:val="left" w:pos="1080"/>
        </w:tabs>
        <w:adjustRightInd w:val="0"/>
        <w:snapToGrid w:val="0"/>
        <w:spacing w:line="360" w:lineRule="auto"/>
        <w:ind w:firstLine="241" w:firstLineChars="100"/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建设原则</w:t>
      </w:r>
    </w:p>
    <w:p>
      <w:pPr>
        <w:keepNext w:val="0"/>
        <w:keepLines w:val="0"/>
        <w:pageBreakBefore w:val="0"/>
        <w:widowControl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平台建设应该遵循以下原则：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先进性原则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技术上采用业界先进技术、成熟的软件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开发，面向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的设计方法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开发工具。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实用性原则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必须做到系统易学、易用、实用，方便医生和医院各级管理部门相关人员的使用。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开放性原则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保证系统设计的规范性，包括系统内部程序设计、系统各模块之间接口、系统内部与外部接口和系统用户界面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等内容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的规范，以便于同其它系统进行信息交互。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节约性原则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预留发展空间，避免重复建设，节约投资。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安全性和可靠性原则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符合国家法律法规要求；系统建设采取全面的安全防护措施，避免安全漏洞和隐患，做好用户隐私保护。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可维护性和可扩展性原则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软件设计尽可能模块化、组件化，以适应将来的发展，系统应提供配置模块和可视化工具，使应用系统可灵活配置，优化流程，适应不同的情况；数据库的设计尽可能考虑到将来发展的需要。</w:t>
      </w:r>
    </w:p>
    <w:p>
      <w:pPr>
        <w:numPr>
          <w:ilvl w:val="0"/>
          <w:numId w:val="0"/>
        </w:numPr>
        <w:tabs>
          <w:tab w:val="left" w:pos="1080"/>
        </w:tabs>
        <w:adjustRightInd w:val="0"/>
        <w:snapToGrid w:val="0"/>
        <w:spacing w:line="24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0" w:name="_Toc20555"/>
      <w:r>
        <w:rPr>
          <w:rFonts w:hint="eastAsia" w:asciiTheme="minorEastAsia" w:hAnsi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、分组要求</w:t>
      </w:r>
      <w:bookmarkEnd w:id="0"/>
    </w:p>
    <w:p>
      <w:pPr>
        <w:snapToGrid/>
        <w:spacing w:before="0" w:beforeAutospacing="0" w:after="0" w:afterAutospacing="0" w:line="240" w:lineRule="auto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本项目所执行的疾病诊断相关分组规则（DRG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分组器）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应兼顾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“湖北省卫计委基于DRGs的医疗服务绩效评价系统”分组规则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，数据有可对比性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四、技术能力要求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1.具有DRGs分组器及应用系统版权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firstLine="480" w:firstLineChars="200"/>
        <w:jc w:val="both"/>
        <w:textAlignment w:val="baseline"/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2.具有国家卫计委DRGs质控中心分组器授权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3.在三级医院有成熟应用案例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4.如遇国家或省级疾病手术编码版本更新，公司能及时响应，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完成时限在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一个月内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确保软件能正常使用。</w:t>
      </w:r>
    </w:p>
    <w:p>
      <w:pPr>
        <w:numPr>
          <w:ilvl w:val="0"/>
          <w:numId w:val="0"/>
        </w:numPr>
        <w:tabs>
          <w:tab w:val="left" w:pos="1080"/>
        </w:tabs>
        <w:adjustRightInd w:val="0"/>
        <w:snapToGrid w:val="0"/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 w:themeColor="text1"/>
          <w:spacing w:val="0"/>
          <w:w w:val="10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五、技术参数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8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" w:type="dxa"/>
          </w:tcPr>
          <w:p>
            <w:pPr>
              <w:pStyle w:val="2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（一）系统要求</w:t>
            </w:r>
          </w:p>
        </w:tc>
        <w:tc>
          <w:tcPr>
            <w:tcW w:w="8538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操作系统要求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客户端采用浏览器（支持H5）即可，可以跨平台使用，支持移动端（Android，IOS）应用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系统架构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采用B/S架构,分组器可以通过Web Service方式进行调用，也可以通过网页方式进行应用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支持云数据库、云存储、云缓存等云架构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数据库支持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支持MySQL、Oracle、SQL Server等多种数据库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数据格式支持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支持XML、CSV、dbf等格式首页数据导入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技术路线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支持信息安全技术：如身份认证、受限数据访问、数字签名、数据留痕、数据日志等等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支持跨数据库平台数据存取技术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支持生成并操作接口服务、安全登录服务等一系列服务，对数据统计、报表、评价模型等业务逻辑进行处理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设计采用XML技术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采用Web Service技术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采用可视化、自动化部署和监控验证技术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用基于接口和基于URL的安全校验技术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" w:type="dxa"/>
          </w:tcPr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（二）首页数据质控</w:t>
            </w:r>
          </w:p>
        </w:tc>
        <w:tc>
          <w:tcPr>
            <w:tcW w:w="8538" w:type="dxa"/>
          </w:tcPr>
          <w:p>
            <w:pPr>
              <w:pStyle w:val="12"/>
              <w:numPr>
                <w:ilvl w:val="0"/>
                <w:numId w:val="0"/>
              </w:numP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全字段校验：对病案首页信息进行全面质控管理，并对质量进行评分。</w:t>
            </w:r>
          </w:p>
          <w:p>
            <w:pPr>
              <w:pStyle w:val="12"/>
              <w:numPr>
                <w:ilvl w:val="0"/>
                <w:numId w:val="0"/>
              </w:numP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系统接收数据后，进行数据审核，包括：a.完整性：必填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不能为空或不规范数据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b.逻辑性：病案各主要信息之间的逻辑一致性检查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编码完整性：主要判断诊断编码和手术编码的正确性，必须符合国家标准版的编码标准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可校验：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校验有疑问主诊断，如Z37分娩结局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能够提供有疑问主诊断维护功能。</w:t>
            </w:r>
          </w:p>
          <w:p>
            <w:pPr>
              <w:pStyle w:val="12"/>
              <w:numPr>
                <w:ilvl w:val="0"/>
                <w:numId w:val="0"/>
              </w:numP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支持病案首页合法性校验，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不合格病案首页字段提醒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，校验规则根据实际需要提出后一周内完成补充或调整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病案数据审核，内置多项基于HQMS、卫统四、DRGs、公立医院绩效考核等数据指标规则，并且支持医院个性化审核条件定制，自动检测过滤，提示错误信息和病案明细，并支持按需下载。</w:t>
            </w:r>
          </w:p>
          <w:p>
            <w:pPr>
              <w:pStyle w:val="2"/>
              <w:ind w:left="0" w:leftChars="0" w:firstLine="0" w:firstLineChars="0"/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病案首页校验结果查询：提供病案首页校验结果查询功能以及校验的统计分析，可查看已执行病案首页校验的数据错误情况，支持以医生、科室、时间维度进行查询。提供系统的查询结果并显示相关扣分项明细和依据，再配合质控需要的评分、统计、填录、上报等工具，为医院质控相关部门提供一站式的智能解决方案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终末质控功能：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病例质控员对已分配的病例进行审核，根据规则说明进行违规字段的勾选确认，或在“质控反馈”的弹窗处选择需修改的字段名称，并人工录入需修改的理由，系统则将质控员反馈信息一并驳回至医师端智能提醒弹窗内，提示医师进行修改，质控员进行再次确认通过，形成闭环管理，各质控状态有任意时段汇总统计查询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DRG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质控</w:t>
            </w:r>
          </w:p>
        </w:tc>
        <w:tc>
          <w:tcPr>
            <w:tcW w:w="8538" w:type="dxa"/>
          </w:tcPr>
          <w:p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jc w:val="left"/>
              <w:textAlignment w:val="baseline"/>
              <w:rPr>
                <w:rFonts w:hint="default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根据湖北省DRGs分组规则，系统智能完成病例筛查。质控DRG</w:t>
            </w: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入组情况、风险等级、高低倍率、区域均费，以及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MDC覆盖（热力图）、权重流向、RW构成和明细、专病专治分析等数据监控与展示。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排除病例筛查：主动筛出住院天数大于60天、费用＜5元的病例</w:t>
            </w: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分组测算：任意时段数据分组，把控数据概况</w:t>
            </w: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Chars="0"/>
              <w:jc w:val="both"/>
              <w:textAlignment w:val="baseline"/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Calibri" w:hAnsi="Calibr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未入组病例分析：多角度分析未入组原因</w:t>
            </w:r>
            <w:r>
              <w:rPr>
                <w:rFonts w:hint="eastAsia" w:ascii="Calibri" w:hAnsi="Calibri" w:cstheme="minorBidi"/>
                <w:color w:val="000000" w:themeColor="text1"/>
                <w:kern w:val="2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、低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倍费率病历预警：自定义倍率，规避高码低编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低码高编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低风险死亡预警：针对低风险死亡病例进行预警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DRG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预分组：在线编辑，实时分组。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1061" w:type="dxa"/>
          </w:tcPr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ICD编码转码映射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与数据质量</w:t>
            </w:r>
          </w:p>
        </w:tc>
        <w:tc>
          <w:tcPr>
            <w:tcW w:w="8538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ICD编码转码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映射：系统支持医院各版本间ICD编码（含医保版ICD编码）做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转码、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映射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数据上传：系统应支持卫统4、HQMS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医保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付费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等格式的病案首页数据导入，并支持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上级版本更新等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字段拓展功能。具有数据清洗、转码上传，卫统4、HQMS、三级公立医院绩效考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核等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首页数据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导出上报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功能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编码规则：编码规则包含《病案信息学》以及ICD三卷编码精髓，必须包括主要诊断编码原则、漏编、高码低编以及合并编码等编码规则。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061" w:type="dxa"/>
            <w:vMerge w:val="restart"/>
          </w:tcPr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（五）软件功能要求</w:t>
            </w:r>
          </w:p>
        </w:tc>
        <w:tc>
          <w:tcPr>
            <w:tcW w:w="8538" w:type="dxa"/>
            <w:tcBorders>
              <w:bottom w:val="nil"/>
            </w:tcBorders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1.支持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CHS-DRG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-DRG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组器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之间一键切换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支持运用DIP分析的数据与本系统数据进行对比查看；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" w:type="dxa"/>
            <w:vMerge w:val="continue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8" w:type="dxa"/>
            <w:tcBorders>
              <w:top w:val="nil"/>
            </w:tcBorders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2.支持按总体指标及DRG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指标进行分析，分析结果直观可视，结果下钻、导出方便快捷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维度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按照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全院、院区、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MDC组、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DRG组、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科目、科室、手术科室、非手术科室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科组、医疗小组、医生等维度评价分析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DRGs分析维度包括服务能力、服务效率、质量安全等方面对应指标分析，指标按报告期、基期、增长量、增长率%等内容展示；下钻展示各DRG病组、病组名称、例数、RW范围、风险等级、RW排名、DRG组对应主诊断主手术列表以及各DRGs病例明细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对比分析：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各指标数据按自定义查询条件，以年、月、区间段进行自定义选择查询，可按照ADRG及DRG进行同比、环比、标杆比等方法比较，并支持不同标杆值比对。各指标数据均可下钻、导出excel，重点指标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据，能以图形化（柱形图、折线图、散点图、象限等）展示、下载。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cs="宋体" w:eastAsia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操作方便：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海量数据响应速度每页面刷新速度≤3秒；支持分析指标记忆功能，数据多级下钻时无需重新选择指标。支持自定义指标选择新增或移除。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1061" w:type="dxa"/>
            <w:vMerge w:val="continue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8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30" w:lineRule="atLeast"/>
              <w:ind w:left="0" w:leftChars="0" w:firstLine="0" w:firstLineChars="0"/>
              <w:textAlignment w:val="center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自助报表分析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BI数据挖掘。</w:t>
            </w:r>
          </w:p>
          <w:p>
            <w:pPr>
              <w:widowControl/>
              <w:numPr>
                <w:ilvl w:val="0"/>
                <w:numId w:val="0"/>
              </w:numPr>
              <w:spacing w:line="330" w:lineRule="atLeast"/>
              <w:ind w:firstLine="480" w:firstLineChars="200"/>
              <w:textAlignment w:val="center"/>
              <w:rPr>
                <w:rFonts w:hint="eastAsia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支持科室按手术级别、例数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占比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、CMI值等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进行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手术分析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30" w:lineRule="atLeast"/>
              <w:ind w:leftChars="0" w:firstLine="480" w:firstLineChars="200"/>
              <w:textAlignment w:val="center"/>
              <w:rPr>
                <w:rFonts w:hint="eastAsia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支持每一DRG组按照产能、效率、安全的综合指标分析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30" w:lineRule="atLeast"/>
              <w:ind w:leftChars="0" w:firstLine="480" w:firstLineChars="200"/>
              <w:textAlignment w:val="center"/>
              <w:rPr>
                <w:rFonts w:hint="eastAsia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支持科室/MDC/DRG组象限分析，可自定义选择象限X/Y轴指标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30" w:lineRule="atLeast"/>
              <w:ind w:leftChars="0" w:firstLine="480" w:firstLineChars="200"/>
              <w:textAlignment w:val="center"/>
              <w:rPr>
                <w:rFonts w:hint="default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支持学科发展优势变化及高权重病例收治能力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分析；</w:t>
            </w:r>
          </w:p>
          <w:p>
            <w:pPr>
              <w:pStyle w:val="2"/>
              <w:ind w:left="0" w:leftChars="0" w:firstLine="480" w:firstLineChars="200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支持对DRGs分组数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据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即时建模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，支持 DRGs的分析和数据钻取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2"/>
              <w:ind w:left="0" w:leftChars="0" w:firstLine="480" w:firstLineChars="200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支持不同DRG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组数变化图显示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2"/>
              <w:ind w:left="0" w:leftChars="0" w:firstLine="480" w:firstLineChars="200"/>
              <w:rPr>
                <w:rFonts w:hint="default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支持关注指标监控功能如：31天内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非计划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重返率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药品、耗材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监控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以及三级医院评审标准（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2020年版）湖北省实施细则</w:t>
            </w:r>
            <w:r>
              <w:rPr>
                <w:rFonts w:hint="eastAsia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中医疗服务能力与质量安全指标等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61" w:type="dxa"/>
            <w:vMerge w:val="continue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8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30" w:lineRule="atLeast"/>
              <w:ind w:left="0" w:leftChars="0" w:firstLine="0" w:firstLineChars="0"/>
              <w:textAlignment w:val="center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数据质量与控费监管</w:t>
            </w:r>
          </w:p>
          <w:p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质量分析</w:t>
            </w:r>
          </w:p>
          <w:p>
            <w:pPr>
              <w:pStyle w:val="2"/>
              <w:numPr>
                <w:ilvl w:val="0"/>
                <w:numId w:val="0"/>
              </w:numPr>
              <w:ind w:leftChars="0" w:firstLine="480" w:firstLineChars="200"/>
              <w:jc w:val="left"/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数据质量审核、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未入组病例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QY病例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住院超60天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费用小于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有疑问主诊断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数据校验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科室质量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等方面，以及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科室综合排名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病区综合排名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MDC综合分析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转科数据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异地就医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整体死亡率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低风险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、中低风险、中高风险、高风险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死亡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等进行逐级下钻分析。</w:t>
            </w:r>
          </w:p>
          <w:p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产能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效率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分析</w:t>
            </w:r>
          </w:p>
          <w:p>
            <w:pPr>
              <w:ind w:firstLine="480" w:firstLineChars="200"/>
              <w:rPr>
                <w:rFonts w:hint="default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各维度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难度系数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病组盈亏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MDC盈亏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科室盈亏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医保报销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单病种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等指标分析。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0" w:hRule="atLeast"/>
        </w:trPr>
        <w:tc>
          <w:tcPr>
            <w:tcW w:w="1061" w:type="dxa"/>
            <w:vMerge w:val="continue"/>
          </w:tcPr>
          <w:p>
            <w:pPr>
              <w:snapToGrid/>
              <w:spacing w:before="0" w:beforeAutospacing="0" w:after="0" w:afterAutospacing="0"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8" w:type="dxa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补充功能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低倍率监测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住院日异常监测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费用异常监测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极端异常例数、温和异常例数的同期对比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/>
                <w:color w:val="000000" w:themeColor="text1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帐号管理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支持不同级别管理者查看不同数据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支持同步HIS系统医院科室、部门及人员的信息，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并可对其进行编辑；</w:t>
            </w:r>
            <w:r>
              <w:rPr>
                <w:rFonts w:hint="eastAsia"/>
                <w:color w:val="000000" w:themeColor="text1"/>
                <w:highlight w:val="non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对院内角色、系统使用权限、医院基本信息、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字典数据维护、科室、院区维护、</w:t>
            </w:r>
            <w:r>
              <w:rPr>
                <w:rFonts w:hint="eastAsia"/>
                <w:color w:val="000000" w:themeColor="text1"/>
                <w:highlight w:val="non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规则配置等进行管理；维护运营日志及显示字典与质控规则记录的更新。</w:t>
            </w:r>
          </w:p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能够提供单条分组界面供病案室使用，能够与电子病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或HIS做接口，对在院患者做预分组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，在医生端界面展示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2"/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自动提示病案批注：提示病案问题及修改推荐提示，显示费用、权重、DRG组、费用变化、标杆值、病案得分等。审核存疑：病案科对无法确认病案进行存疑状态标记，自动引入存疑原因和质控结果，并推送给临床医生。编码员与临床医生线上沟通：编码员可将存疑病案实时反馈至临床医生，同时临床医生可看到自身待办事项即对存疑的病案进行修改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与反馈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，同时支持病案质控功能、在线编辑功能等。</w:t>
            </w:r>
          </w:p>
          <w:p>
            <w:pP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5）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对入组数据，提供入组依据。</w:t>
            </w:r>
            <w:r>
              <w:rPr>
                <w:rFonts w:hint="eastAsia"/>
                <w:color w:val="000000" w:themeColor="text1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可快速定位未入组病案，并提示原因。</w:t>
            </w:r>
          </w:p>
          <w:p>
            <w:pP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6）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单病种能够提供维护界面。</w:t>
            </w:r>
          </w:p>
          <w:p>
            <w:pP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7）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支持分析报告在线查看,并且能导出Word后重新编辑。</w:t>
            </w:r>
          </w:p>
          <w:p>
            <w:pP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8）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DRGs参数配置查看：查看各病组三级医院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标杆值，并可以统计医院自身数据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计算属于自己的标杆值。每月动态维护更新全国或区域标杆值，使医院能够及时了解自身在行业所处的水平，并保持持续更新。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  <w:color w:val="000000" w:themeColor="text1"/>
                <w:highlight w:val="non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9）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目标值管理：设置医院整体或科室指标目标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highlight w:val="non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建立目标分组数据与病例实时数据的对比分析。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(10)50个核心病组分析报表，按基期、报告期时间等自定义查询。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可扩展性：与现有的HIS系统或病案管理系统相兼容，能提供完整的软件实施文档、接口文档。系统要具备一定拓展性，适应未来医院的业务需求。</w:t>
            </w:r>
          </w:p>
          <w:p>
            <w:pPr>
              <w:pStyle w:val="2"/>
              <w:numPr>
                <w:ilvl w:val="0"/>
                <w:numId w:val="4"/>
              </w:numPr>
              <w:ind w:left="0" w:leftChars="0" w:firstLine="0" w:firstLineChars="0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本项目必须包含新老系统两次对接，接入目前病案系统，后期接入HIS和EMR等系统。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061" w:type="dxa"/>
          </w:tcPr>
          <w:p>
            <w:pPr>
              <w:snapToGrid/>
              <w:spacing w:before="0" w:beforeAutospacing="0" w:after="0" w:afterAutospacing="0"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（六）售后服务</w:t>
            </w:r>
          </w:p>
        </w:tc>
        <w:tc>
          <w:tcPr>
            <w:tcW w:w="853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Theme="minorEastAsia" w:hAnsiTheme="minorEastAsia" w:cs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1.投标文件中必须说明免费质保期时间、质保期后的服务标准，维保费用、升级更新服务、服务响应时间、故障响应修复形式及保障措施；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Theme="minorEastAsia" w:hAnsiTheme="minorEastAsia" w:cs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2.投标文件中必须说明软件使用培训计划：对该项目培训方案、培训内容、人员培训等；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Theme="minorEastAsia" w:hAnsiTheme="minorEastAsia" w:cs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3.投标文件中必须说明本项目进度保障措施及调试验收方案。</w:t>
            </w:r>
          </w:p>
        </w:tc>
      </w:tr>
    </w:tbl>
    <w:p>
      <w:pPr>
        <w:pStyle w:val="13"/>
        <w:numPr>
          <w:ilvl w:val="0"/>
          <w:numId w:val="0"/>
        </w:numPr>
        <w:snapToGrid/>
        <w:spacing w:before="0" w:beforeAutospacing="0" w:after="0" w:afterAutospacing="0" w:line="440" w:lineRule="exact"/>
        <w:jc w:val="left"/>
        <w:textAlignment w:val="baseline"/>
        <w:rPr>
          <w:rFonts w:hint="eastAsia" w:ascii="宋体" w:hAnsi="宋体" w:eastAsia="宋体" w:cs="Times New Roman"/>
          <w:b/>
          <w:color w:val="FF0000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567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C26B4F"/>
    <w:multiLevelType w:val="singleLevel"/>
    <w:tmpl w:val="B5C26B4F"/>
    <w:lvl w:ilvl="0" w:tentative="0">
      <w:start w:val="11"/>
      <w:numFmt w:val="decimal"/>
      <w:suff w:val="nothing"/>
      <w:lvlText w:val="（%1）"/>
      <w:lvlJc w:val="left"/>
    </w:lvl>
  </w:abstractNum>
  <w:abstractNum w:abstractNumId="1">
    <w:nsid w:val="C0051675"/>
    <w:multiLevelType w:val="singleLevel"/>
    <w:tmpl w:val="C005167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75952E4"/>
    <w:multiLevelType w:val="singleLevel"/>
    <w:tmpl w:val="C75952E4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D495F50B"/>
    <w:multiLevelType w:val="singleLevel"/>
    <w:tmpl w:val="D495F50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65A3B"/>
    <w:rsid w:val="006C1847"/>
    <w:rsid w:val="01581DBA"/>
    <w:rsid w:val="01A227B8"/>
    <w:rsid w:val="01DD2613"/>
    <w:rsid w:val="04566351"/>
    <w:rsid w:val="05D87E40"/>
    <w:rsid w:val="090675BD"/>
    <w:rsid w:val="0AB152BA"/>
    <w:rsid w:val="0BA60D8C"/>
    <w:rsid w:val="0F9E194E"/>
    <w:rsid w:val="100A05B9"/>
    <w:rsid w:val="103806E9"/>
    <w:rsid w:val="106F6090"/>
    <w:rsid w:val="11170AC1"/>
    <w:rsid w:val="17BA09E7"/>
    <w:rsid w:val="1AEC6B38"/>
    <w:rsid w:val="1B2043D4"/>
    <w:rsid w:val="1EB54450"/>
    <w:rsid w:val="1EDC0F6F"/>
    <w:rsid w:val="24C6472D"/>
    <w:rsid w:val="252E48A7"/>
    <w:rsid w:val="25775834"/>
    <w:rsid w:val="25A347E1"/>
    <w:rsid w:val="28527FA8"/>
    <w:rsid w:val="287E7B98"/>
    <w:rsid w:val="28A17285"/>
    <w:rsid w:val="2955765A"/>
    <w:rsid w:val="2A4040E9"/>
    <w:rsid w:val="2FCE0F00"/>
    <w:rsid w:val="31C04B50"/>
    <w:rsid w:val="37CA62FE"/>
    <w:rsid w:val="38633333"/>
    <w:rsid w:val="38F976D9"/>
    <w:rsid w:val="390B2FC3"/>
    <w:rsid w:val="39466CBB"/>
    <w:rsid w:val="3B0E07D1"/>
    <w:rsid w:val="3B214653"/>
    <w:rsid w:val="3B5913CE"/>
    <w:rsid w:val="3C2E4FC4"/>
    <w:rsid w:val="3DDE110B"/>
    <w:rsid w:val="3E071933"/>
    <w:rsid w:val="442C190A"/>
    <w:rsid w:val="46450C02"/>
    <w:rsid w:val="46F208FB"/>
    <w:rsid w:val="47F72DEC"/>
    <w:rsid w:val="48082FA2"/>
    <w:rsid w:val="48130E32"/>
    <w:rsid w:val="48E04759"/>
    <w:rsid w:val="4A096115"/>
    <w:rsid w:val="507522DD"/>
    <w:rsid w:val="50A57900"/>
    <w:rsid w:val="518C3EA8"/>
    <w:rsid w:val="53002B5E"/>
    <w:rsid w:val="54EE2BB9"/>
    <w:rsid w:val="56242CC3"/>
    <w:rsid w:val="57CB40C3"/>
    <w:rsid w:val="5A064104"/>
    <w:rsid w:val="5B2A6AE6"/>
    <w:rsid w:val="5C927541"/>
    <w:rsid w:val="5E164891"/>
    <w:rsid w:val="602605C9"/>
    <w:rsid w:val="62A703DC"/>
    <w:rsid w:val="64171A6B"/>
    <w:rsid w:val="65A32E7C"/>
    <w:rsid w:val="67520E10"/>
    <w:rsid w:val="6B026082"/>
    <w:rsid w:val="6B23120F"/>
    <w:rsid w:val="6B5C3389"/>
    <w:rsid w:val="6C753114"/>
    <w:rsid w:val="6DF10A01"/>
    <w:rsid w:val="6F4C2A40"/>
    <w:rsid w:val="710576D6"/>
    <w:rsid w:val="71F62FA1"/>
    <w:rsid w:val="740E1C48"/>
    <w:rsid w:val="763A3C7E"/>
    <w:rsid w:val="77565A3B"/>
    <w:rsid w:val="7A3074D4"/>
    <w:rsid w:val="7A3E584E"/>
    <w:rsid w:val="7A8C726D"/>
    <w:rsid w:val="7C4B2D22"/>
    <w:rsid w:val="7C62722B"/>
    <w:rsid w:val="7C96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tabs>
        <w:tab w:val="left" w:pos="2250"/>
      </w:tabs>
      <w:spacing w:line="480" w:lineRule="exact"/>
      <w:ind w:firstLine="560" w:firstLineChars="200"/>
    </w:pPr>
    <w:rPr>
      <w:rFonts w:ascii="仿宋_GB2312" w:eastAsia="仿宋_GB2312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首行缩进"/>
    <w:basedOn w:val="1"/>
    <w:qFormat/>
    <w:uiPriority w:val="0"/>
    <w:pPr>
      <w:ind w:firstLine="480" w:firstLineChars="200"/>
    </w:pPr>
    <w:rPr>
      <w:rFonts w:ascii="Calibri" w:hAnsi="Calibri"/>
      <w:sz w:val="24"/>
      <w:szCs w:val="20"/>
      <w:lang w:val="zh-CN"/>
    </w:rPr>
  </w:style>
  <w:style w:type="paragraph" w:styleId="13">
    <w:name w:val="List Paragraph"/>
    <w:basedOn w:val="1"/>
    <w:qFormat/>
    <w:uiPriority w:val="34"/>
    <w:pPr>
      <w:widowControl/>
      <w:ind w:firstLine="420" w:firstLineChars="200"/>
      <w:jc w:val="left"/>
    </w:pPr>
    <w:rPr>
      <w:kern w:val="0"/>
      <w:sz w:val="24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  <w:style w:type="paragraph" w:customStyle="1" w:styleId="15">
    <w:name w:val="正文_3"/>
    <w:basedOn w:val="1"/>
    <w:qFormat/>
    <w:uiPriority w:val="0"/>
    <w:pPr>
      <w:ind w:firstLine="560" w:firstLineChars="200"/>
    </w:pPr>
    <w:rPr>
      <w:rFonts w:ascii="Calibri" w:hAnsi="Calibri" w:cs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2021-08-12T06:51:00Z</dcterms:created>
  <dc:creator>lenovo</dc:creator>
  <cp:lastModifiedBy>lq</cp:lastModifiedBy>
  <cp:lastPrinted>2021-09-07T00:13:00Z</cp:lastPrinted>
  <dcterms:modified xsi:type="dcterms:W3CDTF">2021-09-07T06:21:49Z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2E0AA95758094434AA2B44D7B937FF53</vt:lpwstr>
  </property>
</Properties>
</file>