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5"/>
      <w:bookmarkStart w:id="1" w:name="_Toc335661865"/>
      <w:r>
        <w:rPr>
          <w:rFonts w:hint="eastAsia" w:ascii="方正小标宋简体" w:eastAsia="方正小标宋简体"/>
          <w:b w:val="0"/>
          <w:sz w:val="36"/>
          <w:szCs w:val="36"/>
        </w:rPr>
        <w:t>湖北省2022年三级医院临床重点专科评分标准</w:t>
      </w:r>
      <w:bookmarkEnd w:id="0"/>
      <w:bookmarkEnd w:id="1"/>
    </w:p>
    <w:p>
      <w:pPr>
        <w:jc w:val="center"/>
        <w:rPr>
          <w:rFonts w:ascii="仿宋_GB2312" w:hAnsi="宋体" w:eastAsia="仿宋_GB2312"/>
          <w:snapToGrid w:val="0"/>
          <w:kern w:val="0"/>
          <w:sz w:val="28"/>
          <w:szCs w:val="28"/>
        </w:rPr>
      </w:pPr>
      <w:r>
        <w:rPr>
          <w:rFonts w:hint="eastAsia" w:ascii="仿宋_GB2312" w:hAnsi="宋体" w:eastAsia="仿宋_GB2312"/>
          <w:bCs/>
          <w:spacing w:val="20"/>
          <w:sz w:val="28"/>
          <w:szCs w:val="28"/>
        </w:rPr>
        <w:t>（适用于精神科专业）</w:t>
      </w:r>
    </w:p>
    <w:tbl>
      <w:tblPr>
        <w:tblStyle w:val="9"/>
        <w:tblW w:w="145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0"/>
        <w:gridCol w:w="678"/>
        <w:gridCol w:w="3474"/>
        <w:gridCol w:w="720"/>
        <w:gridCol w:w="4680"/>
        <w:gridCol w:w="4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9161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无组织机构不得分，有机构未履行职责扣2分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政策措施齐全得4分；政策措施不完善或不齐全得2分；无明确的政策、措施或不落实不得分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规划欠合理得1分；无中长期发展规划不得分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规模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医院感染管理不符合要求不得分；</w:t>
            </w:r>
          </w:p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科室标识不规范、不清楚、不醒目扣8分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综合医院精神科病床总数≥30张，专科医院精神科病床总数≥300张得10分，每少1张扣1分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1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业务用房每床使用面积≥60平方米，每床病床净使用面积≥6平方米(业务用房不包括辅助用房)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业务用房每床使用面积≥60平方米得5分，每减少10平方米扣2分；每床病床净使用面积≥6平方米得5分，每减少1平方米扣2分，少于4平方米不得分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支撑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条件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评估前三年医院每年对专科经费投入不低于50万元人民币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每少10万元减2分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；医疗设备具有先进性得6分，具有适宜性得4分。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相关科室医疗技术队伍整体实力强得5分，设备设施满足需要得5分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75分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医院（科室）有发展规划、年度工作计划及年度总结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查评审前3年内有关资料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无发展规划扣2分；无工作计划扣2分；无年度总结扣1分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专科有医疗质量管理组织，有医疗质量的管理制度，每月有科内医疗质量检查记录，并落实缺陷整改。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查资料、查记录；随机抽查2名医务人员进行考核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未成立组织不得分；无质量管理制度扣5分；每月未定期检查不得分；1人不熟悉质量管理制度扣3分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专科有健全的岗位职责，并能认真履行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查资料，现场随机抽查医、护人员各1名进行考核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无岗位职责不得分，岗位职责不健全扣2分；1人不熟悉岗位职责扣3分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查开展临床路径相关文件、资料及工作记录，抽查10份病历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根据</w:t>
            </w: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</w:rPr>
              <w:t>国家及省卫生</w:t>
            </w: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健康</w:t>
            </w: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</w:rPr>
              <w:t>委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的要求认真开展临床路径工作。根据本院本科室实际情况，制定并实施临床路径，工作有记录，资料完整得20分；开展了临床路径，工作无记录或记录集不完整得10分；未开展不得分。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根据</w:t>
            </w: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</w:rPr>
              <w:t>《</w:t>
            </w: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关于进一步深化优质护理、改善护理服务</w:t>
            </w: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</w:rPr>
              <w:t>》</w:t>
            </w: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，开展优质护理服务。</w:t>
            </w:r>
          </w:p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（1）改变护理工作模式，实行责任制整体护理；（2）依据科室专业特点及护理工作量，合理配置护士；（3）根据</w:t>
            </w: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</w:rPr>
              <w:t>《</w:t>
            </w: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中华人民共和国卫生行业标准 护理分级</w:t>
            </w: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</w:rPr>
              <w:t>》</w:t>
            </w: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等文件，结合病房实际，细化分级护理标准、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扣10分，每名责任护士平均负责患者数量超过8个扣5分，依赖患者家属自聘护工护理患者扣5分；1名病人护理级别和病情不相符扣5分；1名护士对优质护理服务有关内涵不清楚扣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带头人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职称(正高或40岁以下的副高)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非正高职称或40岁以上副高级职称不得分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查评审前3年内获准批件，多个项目可累加计分，最高不超过标准分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国家级5分，省级4分，市级2分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发表论文6篇(统计源以上)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查评审前3年内以第一作者或通讯作者发表的统计源以上期刊杂志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少一篇扣2分；2篇以下不得分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有3</w:t>
            </w: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人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年主持科内专科查房平均每周1次以上，年内应邀参加三级医院间疑难危重病例大会诊不少于5次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1名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主持科内专科查房平均每周少于1次扣2分，1名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年内应邀参加三级医院间疑难危重病例大会诊少于5次扣2分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承担市级以上课题 ，发表论文</w:t>
            </w:r>
            <w:r>
              <w:rPr>
                <w:rFonts w:hint="eastAsia" w:ascii="宋体" w:hAnsi="宋体"/>
                <w:bCs/>
                <w:snapToGrid w:val="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查评审前3年内获准批件；查评审前3年内以第一作者或通讯作者发表的统计源以上期刊杂志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未承担相</w:t>
            </w: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应课题扣3分，论文少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1篇扣1分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随机抽查3名专业技术人员相应执业资格；医师人数不低于0.1人/床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有1人不具备相应执业资格不得分；医师床位比不达标扣6分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查学位证书原件，各学位医师应占专科医师的比例为硕士达20%，博士达5%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硕士不达标扣4分；博士不达标扣4分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结构层次清楚，人数近似得4分；人数比例明显失调扣4分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对业务不熟悉扣3分；对科室管理情况不清楚扣2分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无培训计划扣3分，无考核记录扣5分；1名护士业务能力不熟悉扣5分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选送科室人员到外院或国外医院进修学习，每年不少于2人次，进修时间不少于6个月/人次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查看评审前3年内相关证书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6个月/人次，6人以上（含6人）得10分；每减少1人次扣2分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70分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由评审专家组结合专业实际确定8-10个三级医院常规临床技术项目。查阅相关病历和资料，评价专科技术的总体水平和其地位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常规技术项目缺一项扣4分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病床使用率＜90%</w:t>
            </w: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不得分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；病床使用率≥95%，得满分，每降低1%扣2分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专家根据参评单位平均年出院人数情况综合打分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专家根据参评单位平均年门诊人次情况综合打分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平均住院日，专科医院≤45天，综合医院≤25天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每上升一天扣1分。同一个专业的专科如果均在标准之内其最短天数按满分计数，其他酌情给分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科室床位周转次数，专科医院≥8次/年，综合医院≥14次/年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亚专科设置超过2个以上得10分，1个得5分，没有不得分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查询相关病例和资料，由专家结合本专业实际确定2个反映本专业水平和能力的病种或技术进行比较评价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医院提供的评审前3年内2项技术，评定其先进性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对医院提供的2项技术进行评估，每项技术适应症的合理掌握（3分），实施效果（3分），单项技术先进性、领先程度（4分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200分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独立开展省临床重点专科建设指南必备的技术项目。成功开展指：1、本专科独立完成；2、每一项目能提交评审前3年内的20份病历的技术资料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按照《项目指南》的要求进行考核，每一项目查阅20份病历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按相应专业技术项目的条款的总数平分分值；病历数少于10者，本项按未开展计算，大于10不足20的扣除相应分值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随机抽查5个病种，每个病种抽查5份病历，查病例诊疗方案合理性，核心技术应用合理性（综合好转率、死亡率、并发症或合并症发生率）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每份病历2分，根据病历评价情况适当扣分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每份病历5分，根据病历评价情况适当扣分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抽查10份危重症病历，查病例诊疗方案合理性，核心技术应用合理性（综合好转率、死亡率、并发症或合并症发生率）。危重病种由专家组结合本专业实际确定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每份病历5分，根据病历评价情况适当扣分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  <w:highlight w:val="yellow"/>
              </w:rPr>
            </w:pP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</w:rPr>
              <w:t>创新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  <w:highlight w:val="yellow"/>
              </w:rPr>
            </w:pP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</w:rPr>
              <w:t>能力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  <w:highlight w:val="yellow"/>
              </w:rPr>
            </w:pP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default" w:ascii="宋体" w:hAnsi="宋体" w:eastAsia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创新项目的数量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和创新水平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FF0000"/>
                <w:kern w:val="0"/>
                <w:szCs w:val="21"/>
                <w:highlight w:val="yellow"/>
              </w:rPr>
            </w:pP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FF0000"/>
                <w:kern w:val="0"/>
                <w:szCs w:val="21"/>
                <w:highlight w:val="yellow"/>
              </w:rPr>
            </w:pP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FF0000"/>
                <w:kern w:val="0"/>
                <w:szCs w:val="21"/>
                <w:highlight w:val="yellow"/>
              </w:rPr>
            </w:pP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</w:rPr>
              <w:t>评审前3年，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2项创新项目具有先进性且临床应用好，得10分；1项创新项目具有先进性且临床应用好得5分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  <w:highlight w:val="yellow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default" w:ascii="宋体" w:hAnsi="宋体" w:eastAsia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FF0000"/>
                <w:kern w:val="0"/>
                <w:szCs w:val="21"/>
                <w:highlight w:val="yellow"/>
              </w:rPr>
            </w:pP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FF0000"/>
                <w:kern w:val="0"/>
                <w:szCs w:val="21"/>
                <w:highlight w:val="yellow"/>
              </w:rPr>
            </w:pP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default" w:ascii="宋体" w:hAnsi="宋体" w:eastAsia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创新项目的临床转化能力强，得10分；转化能力一般，得5分；不能转化为临床使用，则不得分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  <w:highlight w:val="yellow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FF0000"/>
                <w:kern w:val="0"/>
                <w:szCs w:val="21"/>
                <w:highlight w:val="yellow"/>
              </w:rPr>
            </w:pP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eastAsia="zh-CN"/>
              </w:rPr>
              <w:t>“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323”精神卫生防治组织管理及体系建设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FF0000"/>
                <w:kern w:val="0"/>
                <w:szCs w:val="21"/>
                <w:highlight w:val="yellow"/>
              </w:rPr>
            </w:pP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default" w:ascii="宋体" w:hAnsi="宋体" w:eastAsia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查看相关文件及办公场所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default" w:ascii="宋体" w:hAnsi="宋体" w:eastAsia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组织管理及体系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完善完善，得5分；有相对固定的办公场所，得5分。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  <w:highlight w:val="yellow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default" w:ascii="宋体" w:hAnsi="宋体" w:eastAsia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323”精神卫生防治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实施情况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FF0000"/>
                <w:kern w:val="0"/>
                <w:szCs w:val="21"/>
                <w:highlight w:val="yellow"/>
              </w:rPr>
            </w:pP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default" w:ascii="宋体" w:hAnsi="宋体" w:eastAsia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查看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重点任务及主要指标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完成情况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default" w:ascii="宋体" w:hAnsi="宋体" w:eastAsia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根据完成情况占比得分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年出院患者中外埠患者比例≥10%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每降低1%扣1.5分。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下级医院转入急危重症和疑难病患者≥10%得10分，每降低1% 扣1分。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对3家及以上医院进行对口支援，得5分，每少1家扣2分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评审前3年，每年举办技术推广培训班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未举办技术推广会议或培训不得分，1年未举办扣2分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查评审前3年学术交流有关资料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国家级学术会议：大会报告1分/次、壁报交流0.5分/次；省级学术会议：大会报告0.5分/次、壁报交流0.2分/次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240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85分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抽查10份病历，检查项目是否合理（三大常规、血生化、心电图），专科检查是否合理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1份病历不合理扣2分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8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抽查10份病历</w:t>
            </w:r>
          </w:p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1、合理使用抗生素（10分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.包括项目：用药适应证是否明确、预防应用抗菌素合理性、联合应用抗菌素正确性、有无明显的药物配伍禁忌、是否根据药敏实验使用抗菌素、有否重复用药，具体按《抗菌药物临床应用指导原则》判定。</w:t>
            </w:r>
          </w:p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2、合理使用精神专科药物（30分）</w:t>
            </w:r>
          </w:p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3、合理使用辅助药物（10分）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1份病历不合理扣5分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合理应用心理治疗、物理治疗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检查是否专业技术人员、诊疗场所与设备和诊疗流程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1分病历不合理扣4分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发生三、四级医疗事故负主要责任不得分，次要责任5分/次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4</w:t>
            </w: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</w:rPr>
              <w:t>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  <w:highlight w:val="yellow"/>
              </w:rPr>
            </w:pP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</w:rPr>
              <w:t>每天均安排高级职称人员出门诊，所有专家每周至少出1次门诊，得1</w:t>
            </w: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5</w:t>
            </w: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</w:rPr>
              <w:t>分。有一人不符合要求扣2分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开设本专科专病门诊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  <w:highlight w:val="yellow"/>
              </w:rPr>
            </w:pP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</w:rPr>
              <w:t>开设专病门诊得1</w:t>
            </w: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5</w:t>
            </w: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</w:rPr>
              <w:t>分，未开设，不得分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门诊患者中预约挂号情况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已开展工作得10分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95分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诊断符合率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安全管理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看现场、查资料，随机抽查病历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kern w:val="0"/>
                <w:szCs w:val="21"/>
              </w:rPr>
              <w:t>检查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制度、设施、培训演练（10分），知情同意书、风险评估等（10分），酌情扣分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现场随机抽查医生、护士各2名进行理论和技术操作的考核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每下降1%扣2分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制度健全、落实到位得10分。有1项缺项或1处不落实扣3分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8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5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highlight w:val="yellow"/>
                <w:lang w:val="en-US" w:eastAsia="zh-CN"/>
              </w:rPr>
              <w:t>19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学术委员会任职情况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highlight w:val="yellow"/>
                <w:lang w:val="en-US" w:eastAsia="zh-CN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全国主委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7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分、副主委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6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分，常委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5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分，委员3分；省主委6分，副主委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4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分，常委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分、委员2分；市主委4分，副主委1分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SCI收录杂志的主编7分、副主编6分，常务编委5分，编委3分；中华医学会系列杂志主编4分、副主编3分，常务编委2分，编委1分；统计源杂志主编、副主编2分，常务编委、编委1分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查评审前3年内会议通知、签到表及相关材料，多次承办或主办本专科的会议可累加计分，最高不超过标准分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国际性学术会议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5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分；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全国性学术会议4分；省级学术会议3分；市级学术会议1分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4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7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4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查评审前3年内第一作者获得项目的批件。可累积计分，总分不超过标准分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7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有1项得5分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有1项得2分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20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1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评审前3年内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国家级一等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12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分，二等1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0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分，三等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7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分；省一等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7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分，二等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5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分，三等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分；市一等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分、二等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2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分、三等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1</w:t>
            </w: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评审前3年内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发表SCI每篇4分；中华医学会系列杂志2分；统计源杂志1分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评审前3年内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国家级一项次5分，省级一项次2分，市级一项次1分，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评审前3年内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培养规范化医师人数、合格率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未获得规范化医师培训基地，不得分。培养合格率&lt;95分；每低5个百分点，扣1分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4分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查评评审前3年内资料，进修人员以申请表和进修人员学历证明为准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未接受不得分；每少一名扣2分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学生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教育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查评审前3年内资料，临床教学不少于本课时的80%，查教案和实习轮转表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未承担者不得分，无临床授课扣2分，无实习、见习扣1分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无硕士学位授予点不得分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snapToGrid w:val="0"/>
                <w:color w:val="FF0000"/>
                <w:kern w:val="0"/>
                <w:szCs w:val="21"/>
                <w:highlight w:val="yellow"/>
                <w:lang w:val="en-US" w:eastAsia="zh-CN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参加教育部、卫生部普通高等院校规</w:t>
            </w:r>
            <w:bookmarkStart w:id="2" w:name="_GoBack"/>
            <w:bookmarkEnd w:id="2"/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主编5分、副主编3分,编委1分</w:t>
            </w:r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注：总分1000分。每项得分不得超过标准分，扣分以扣完标准分为止。</w:t>
      </w:r>
    </w:p>
    <w:p/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2F17"/>
    <w:rsid w:val="00003EF2"/>
    <w:rsid w:val="00014246"/>
    <w:rsid w:val="000526CF"/>
    <w:rsid w:val="00080F48"/>
    <w:rsid w:val="000F096D"/>
    <w:rsid w:val="000F62B2"/>
    <w:rsid w:val="0010133F"/>
    <w:rsid w:val="0010592F"/>
    <w:rsid w:val="0010729F"/>
    <w:rsid w:val="00122237"/>
    <w:rsid w:val="001304D9"/>
    <w:rsid w:val="00150BAE"/>
    <w:rsid w:val="00155200"/>
    <w:rsid w:val="0017790C"/>
    <w:rsid w:val="001864C9"/>
    <w:rsid w:val="001903C1"/>
    <w:rsid w:val="001B46A1"/>
    <w:rsid w:val="001F77F0"/>
    <w:rsid w:val="002077E6"/>
    <w:rsid w:val="00210868"/>
    <w:rsid w:val="0021108D"/>
    <w:rsid w:val="00211906"/>
    <w:rsid w:val="00257609"/>
    <w:rsid w:val="002B7043"/>
    <w:rsid w:val="002E6275"/>
    <w:rsid w:val="0035544E"/>
    <w:rsid w:val="00356948"/>
    <w:rsid w:val="00377003"/>
    <w:rsid w:val="003810D8"/>
    <w:rsid w:val="003D4C1E"/>
    <w:rsid w:val="004A50BB"/>
    <w:rsid w:val="004B420C"/>
    <w:rsid w:val="004E1B49"/>
    <w:rsid w:val="0057713F"/>
    <w:rsid w:val="0059326F"/>
    <w:rsid w:val="005B7320"/>
    <w:rsid w:val="0065252F"/>
    <w:rsid w:val="00652D05"/>
    <w:rsid w:val="00676AFD"/>
    <w:rsid w:val="00680F1C"/>
    <w:rsid w:val="006A01D8"/>
    <w:rsid w:val="00811044"/>
    <w:rsid w:val="00812F17"/>
    <w:rsid w:val="00850A0E"/>
    <w:rsid w:val="00891A49"/>
    <w:rsid w:val="008A5849"/>
    <w:rsid w:val="008F7336"/>
    <w:rsid w:val="0091198F"/>
    <w:rsid w:val="00982404"/>
    <w:rsid w:val="009A78B6"/>
    <w:rsid w:val="009F2DEB"/>
    <w:rsid w:val="00A06251"/>
    <w:rsid w:val="00A2321D"/>
    <w:rsid w:val="00A26AFD"/>
    <w:rsid w:val="00A63CBB"/>
    <w:rsid w:val="00A72A3D"/>
    <w:rsid w:val="00A844FD"/>
    <w:rsid w:val="00AE0939"/>
    <w:rsid w:val="00B03903"/>
    <w:rsid w:val="00B12A9A"/>
    <w:rsid w:val="00B247E2"/>
    <w:rsid w:val="00B862B0"/>
    <w:rsid w:val="00B939DF"/>
    <w:rsid w:val="00BA0C3F"/>
    <w:rsid w:val="00BF1D6D"/>
    <w:rsid w:val="00C458C9"/>
    <w:rsid w:val="00C71FF6"/>
    <w:rsid w:val="00C760E4"/>
    <w:rsid w:val="00CE4A59"/>
    <w:rsid w:val="00D24E93"/>
    <w:rsid w:val="00D56D1D"/>
    <w:rsid w:val="00D57C8E"/>
    <w:rsid w:val="00D942A7"/>
    <w:rsid w:val="00D968B1"/>
    <w:rsid w:val="00E96610"/>
    <w:rsid w:val="00F047C8"/>
    <w:rsid w:val="00F34197"/>
    <w:rsid w:val="11027DAD"/>
    <w:rsid w:val="18365A0D"/>
    <w:rsid w:val="1A0F6516"/>
    <w:rsid w:val="1DE70715"/>
    <w:rsid w:val="2CA55D89"/>
    <w:rsid w:val="2FDE56E2"/>
    <w:rsid w:val="324E3C27"/>
    <w:rsid w:val="40206D1C"/>
    <w:rsid w:val="47F971AF"/>
    <w:rsid w:val="48EA32BE"/>
    <w:rsid w:val="54980C95"/>
    <w:rsid w:val="57107000"/>
    <w:rsid w:val="5BF453B9"/>
    <w:rsid w:val="6A765946"/>
    <w:rsid w:val="6DF87F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semiHidden/>
    <w:unhideWhenUsed/>
    <w:uiPriority w:val="99"/>
    <w:pPr>
      <w:jc w:val="left"/>
    </w:pPr>
  </w:style>
  <w:style w:type="paragraph" w:styleId="4">
    <w:name w:val="Body Text"/>
    <w:basedOn w:val="1"/>
    <w:link w:val="15"/>
    <w:uiPriority w:val="0"/>
    <w:rPr>
      <w:rFonts w:ascii="宋体" w:hAnsi="宋体"/>
      <w:b/>
      <w:bCs/>
      <w:sz w:val="24"/>
    </w:rPr>
  </w:style>
  <w:style w:type="paragraph" w:styleId="5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annotation subject"/>
    <w:basedOn w:val="3"/>
    <w:next w:val="3"/>
    <w:link w:val="19"/>
    <w:semiHidden/>
    <w:unhideWhenUsed/>
    <w:uiPriority w:val="99"/>
    <w:rPr>
      <w:b/>
      <w:bCs/>
    </w:rPr>
  </w:style>
  <w:style w:type="character" w:styleId="11">
    <w:name w:val="annotation reference"/>
    <w:basedOn w:val="10"/>
    <w:semiHidden/>
    <w:unhideWhenUsed/>
    <w:uiPriority w:val="99"/>
    <w:rPr>
      <w:sz w:val="21"/>
      <w:szCs w:val="21"/>
    </w:rPr>
  </w:style>
  <w:style w:type="character" w:customStyle="1" w:styleId="12">
    <w:name w:val="页眉 Char"/>
    <w:basedOn w:val="10"/>
    <w:link w:val="7"/>
    <w:uiPriority w:val="99"/>
    <w:rPr>
      <w:sz w:val="18"/>
      <w:szCs w:val="18"/>
    </w:rPr>
  </w:style>
  <w:style w:type="character" w:customStyle="1" w:styleId="13">
    <w:name w:val="页脚 Char"/>
    <w:basedOn w:val="10"/>
    <w:link w:val="6"/>
    <w:uiPriority w:val="99"/>
    <w:rPr>
      <w:sz w:val="18"/>
      <w:szCs w:val="18"/>
    </w:rPr>
  </w:style>
  <w:style w:type="character" w:customStyle="1" w:styleId="14">
    <w:name w:val="标题 1 Char"/>
    <w:basedOn w:val="10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5">
    <w:name w:val="正文文本 Char"/>
    <w:basedOn w:val="10"/>
    <w:link w:val="4"/>
    <w:uiPriority w:val="0"/>
    <w:rPr>
      <w:rFonts w:ascii="宋体" w:hAnsi="宋体" w:eastAsia="宋体" w:cs="Times New Roman"/>
      <w:b/>
      <w:bCs/>
      <w:sz w:val="24"/>
      <w:szCs w:val="24"/>
    </w:rPr>
  </w:style>
  <w:style w:type="character" w:customStyle="1" w:styleId="16">
    <w:name w:val="批注框文本 Char"/>
    <w:basedOn w:val="10"/>
    <w:link w:val="5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批注文字 Char"/>
    <w:basedOn w:val="10"/>
    <w:link w:val="3"/>
    <w:semiHidden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9">
    <w:name w:val="批注主题 Char"/>
    <w:basedOn w:val="18"/>
    <w:link w:val="8"/>
    <w:semiHidden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1069</Words>
  <Characters>6094</Characters>
  <Lines>50</Lines>
  <Paragraphs>14</Paragraphs>
  <TotalTime>18</TotalTime>
  <ScaleCrop>false</ScaleCrop>
  <LinksUpToDate>false</LinksUpToDate>
  <CharactersWithSpaces>7149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2016-03-23T03:31:00Z</dcterms:created>
  <dc:creator>lenovo</dc:creator>
  <cp:lastModifiedBy>汤世明</cp:lastModifiedBy>
  <dcterms:modified xsi:type="dcterms:W3CDTF">2022-05-19T03:17:01Z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D468421C6B1B47A7B16F2766AA24D24D</vt:lpwstr>
  </property>
</Properties>
</file>