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空气波压力循环治疗系统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一键式操作，节省医护人员工作量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体积小巧、可悬挂床头、方便携带转移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可选配多部位加压带，满足临床不同需求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治疗时间可调，为患者提供个性化治疗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连续圆周加压，促进血液和淋巴液的流动，消除肢体水肿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三种充气变化，多种加压处方，适合多种病情需要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联合处方组合成的动脉模式适用于动脉缺血患者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超静音设计，使用更舒心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标配：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主机x1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单充气管x1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上肢加压带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下肢加压带x2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双充气管x1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腰部加压带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扩张拉链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52EB3"/>
    <w:multiLevelType w:val="singleLevel"/>
    <w:tmpl w:val="33A52E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46782610"/>
    <w:rsid w:val="467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2023-06-26T23:36:00Z</dcterms:created>
  <dc:creator>WPS_1669601807</dc:creator>
  <cp:lastModifiedBy>WPS_1669601807</cp:lastModifiedBy>
  <cp:lastPrinted>2023-06-26T23:49:57Z</cp:lastPrinted>
  <dcterms:modified xsi:type="dcterms:W3CDTF">2023-06-26T23:50:13Z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F7EA9571CAA644E5B5A264077E1E8ADD_11</vt:lpwstr>
  </property>
</Properties>
</file>