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ascii="宋体" w:hAnsi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sz w:val="28"/>
          <w:szCs w:val="28"/>
        </w:rPr>
        <w:t>婴儿辐射保暖台</w:t>
      </w:r>
    </w:p>
    <w:p>
      <w:pPr>
        <w:spacing w:line="400" w:lineRule="exact"/>
        <w:rPr>
          <w:rFonts w:ascii="宋体" w:hAnsi="宋体" w:cs="Arial"/>
          <w:b/>
          <w:szCs w:val="21"/>
        </w:rPr>
      </w:pPr>
      <w:r>
        <w:rPr>
          <w:rFonts w:hint="eastAsia" w:ascii="宋体" w:hAnsi="宋体" w:cs="Arial"/>
          <w:b/>
          <w:szCs w:val="21"/>
        </w:rPr>
        <w:t>基本配置：</w:t>
      </w:r>
      <w:r>
        <w:rPr>
          <w:rFonts w:hint="eastAsia" w:ascii="宋体" w:hAnsi="宋体" w:cs="微软雅黑"/>
          <w:szCs w:val="21"/>
        </w:rPr>
        <w:t>辐射箱，控制仪，皮肤温度传感器，婴儿床，托盘，输液架，机架，SpO</w:t>
      </w:r>
      <w:r>
        <w:rPr>
          <w:rFonts w:ascii="宋体" w:hAnsi="宋体" w:cs="微软雅黑"/>
          <w:szCs w:val="21"/>
        </w:rPr>
        <w:t>₂</w:t>
      </w:r>
      <w:r>
        <w:rPr>
          <w:rFonts w:hint="eastAsia" w:ascii="宋体" w:hAnsi="宋体" w:cs="微软雅黑"/>
          <w:szCs w:val="21"/>
        </w:rPr>
        <w:t>脉搏血氧监测装置，储物抽屉，</w:t>
      </w:r>
      <w:r>
        <w:rPr>
          <w:rFonts w:hint="eastAsia" w:ascii="宋体" w:hAnsi="宋体" w:cs="微软雅黑"/>
          <w:szCs w:val="21"/>
          <w:highlight w:val="none"/>
        </w:rPr>
        <w:t>负压吸引装置，T组合复苏装置，空氧混合装置，检查灯</w:t>
      </w:r>
      <w:r>
        <w:rPr>
          <w:rFonts w:hint="eastAsia" w:ascii="宋体" w:hAnsi="宋体" w:cs="微软雅黑"/>
          <w:szCs w:val="21"/>
        </w:rPr>
        <w:t>。</w:t>
      </w:r>
    </w:p>
    <w:p>
      <w:pPr>
        <w:spacing w:line="400" w:lineRule="exact"/>
        <w:rPr>
          <w:rFonts w:ascii="宋体" w:hAnsi="宋体" w:cs="Arial"/>
          <w:b/>
          <w:szCs w:val="21"/>
        </w:rPr>
      </w:pPr>
      <w:r>
        <w:rPr>
          <w:rFonts w:hint="eastAsia" w:ascii="宋体" w:hAnsi="宋体" w:cs="Arial"/>
          <w:b/>
          <w:szCs w:val="21"/>
        </w:rPr>
        <w:t>产品主要功能、技术参数及要求：</w:t>
      </w:r>
      <w:bookmarkStart w:id="0" w:name="_GoBack"/>
      <w:bookmarkEnd w:id="0"/>
    </w:p>
    <w:p>
      <w:pPr>
        <w:spacing w:line="400" w:lineRule="exact"/>
        <w:rPr>
          <w:rFonts w:ascii="宋体" w:hAnsi="宋体" w:cs="微软雅黑"/>
          <w:szCs w:val="21"/>
        </w:rPr>
      </w:pPr>
      <w:r>
        <w:rPr>
          <w:rFonts w:hint="eastAsia" w:ascii="宋体" w:hAnsi="宋体" w:cs="微软雅黑"/>
          <w:szCs w:val="21"/>
        </w:rPr>
        <w:t>1、电源要求：</w:t>
      </w:r>
      <w:r>
        <w:rPr>
          <w:rFonts w:ascii="宋体" w:hAnsi="宋体" w:cs="微软雅黑"/>
          <w:szCs w:val="21"/>
        </w:rPr>
        <w:t>AC220V/50Hz</w:t>
      </w:r>
      <w:r>
        <w:rPr>
          <w:rFonts w:hint="eastAsia" w:ascii="宋体" w:hAnsi="宋体" w:cs="微软雅黑"/>
          <w:szCs w:val="21"/>
        </w:rPr>
        <w:t>；</w:t>
      </w:r>
    </w:p>
    <w:p>
      <w:pPr>
        <w:spacing w:line="400" w:lineRule="exact"/>
        <w:rPr>
          <w:rFonts w:ascii="宋体" w:hAnsi="宋体" w:cs="微软雅黑"/>
          <w:szCs w:val="21"/>
        </w:rPr>
      </w:pPr>
      <w:r>
        <w:rPr>
          <w:rFonts w:hint="eastAsia" w:ascii="宋体" w:hAnsi="宋体" w:cs="微软雅黑"/>
          <w:szCs w:val="21"/>
        </w:rPr>
        <w:t>2、输入功率：6</w:t>
      </w:r>
      <w:r>
        <w:rPr>
          <w:rFonts w:ascii="宋体" w:hAnsi="宋体" w:cs="微软雅黑"/>
          <w:szCs w:val="21"/>
        </w:rPr>
        <w:t>00</w:t>
      </w:r>
      <w:r>
        <w:rPr>
          <w:rFonts w:hint="eastAsia" w:ascii="宋体" w:hAnsi="宋体" w:cs="微软雅黑"/>
          <w:szCs w:val="21"/>
        </w:rPr>
        <w:t>VA；</w:t>
      </w:r>
    </w:p>
    <w:p>
      <w:pPr>
        <w:spacing w:line="400" w:lineRule="exact"/>
        <w:rPr>
          <w:rFonts w:ascii="宋体" w:hAnsi="宋体" w:cs="微软雅黑"/>
          <w:szCs w:val="21"/>
        </w:rPr>
      </w:pPr>
      <w:r>
        <w:rPr>
          <w:rFonts w:hint="eastAsia" w:ascii="宋体" w:hAnsi="宋体" w:cs="微软雅黑"/>
          <w:szCs w:val="21"/>
        </w:rPr>
        <w:t>3、温度控制模式：预热模式、手控模式和肤温模式；</w:t>
      </w:r>
    </w:p>
    <w:p>
      <w:pPr>
        <w:spacing w:line="400" w:lineRule="exact"/>
        <w:rPr>
          <w:rFonts w:ascii="宋体" w:hAnsi="宋体" w:cs="微软雅黑"/>
          <w:szCs w:val="21"/>
        </w:rPr>
      </w:pPr>
      <w:r>
        <w:rPr>
          <w:rFonts w:hint="eastAsia" w:ascii="宋体" w:hAnsi="宋体" w:cs="微软雅黑"/>
          <w:szCs w:val="21"/>
        </w:rPr>
        <w:t>4、肤温模式下控制温度范围：</w:t>
      </w:r>
      <w:r>
        <w:rPr>
          <w:rFonts w:ascii="宋体" w:hAnsi="宋体" w:cs="微软雅黑"/>
          <w:szCs w:val="21"/>
        </w:rPr>
        <w:t>32</w:t>
      </w:r>
      <w:r>
        <w:rPr>
          <w:rFonts w:hint="eastAsia" w:ascii="宋体" w:hAnsi="宋体" w:cs="微软雅黑"/>
          <w:szCs w:val="21"/>
        </w:rPr>
        <w:t>℃～37</w:t>
      </w:r>
      <w:r>
        <w:rPr>
          <w:rFonts w:ascii="宋体" w:hAnsi="宋体" w:cs="微软雅黑"/>
          <w:szCs w:val="21"/>
        </w:rPr>
        <w:t>.5</w:t>
      </w:r>
      <w:r>
        <w:rPr>
          <w:rFonts w:hint="eastAsia" w:ascii="宋体" w:hAnsi="宋体" w:cs="微软雅黑"/>
          <w:szCs w:val="21"/>
        </w:rPr>
        <w:t>℃；</w:t>
      </w:r>
    </w:p>
    <w:p>
      <w:pPr>
        <w:spacing w:line="400" w:lineRule="exact"/>
        <w:rPr>
          <w:rFonts w:ascii="宋体" w:hAnsi="宋体" w:cs="微软雅黑"/>
          <w:szCs w:val="21"/>
        </w:rPr>
      </w:pPr>
      <w:r>
        <w:rPr>
          <w:rFonts w:hint="eastAsia" w:ascii="宋体" w:hAnsi="宋体" w:cs="微软雅黑"/>
          <w:szCs w:val="21"/>
        </w:rPr>
        <w:t>5、肤温模式的温度显示范围：</w:t>
      </w:r>
      <w:r>
        <w:rPr>
          <w:rFonts w:ascii="宋体" w:hAnsi="宋体" w:cs="微软雅黑"/>
          <w:szCs w:val="21"/>
        </w:rPr>
        <w:t>5</w:t>
      </w:r>
      <w:r>
        <w:rPr>
          <w:rFonts w:hint="eastAsia" w:ascii="宋体" w:hAnsi="宋体" w:cs="微软雅黑"/>
          <w:szCs w:val="21"/>
        </w:rPr>
        <w:t>℃～</w:t>
      </w:r>
      <w:r>
        <w:rPr>
          <w:rFonts w:ascii="宋体" w:hAnsi="宋体" w:cs="微软雅黑"/>
          <w:szCs w:val="21"/>
        </w:rPr>
        <w:t>65</w:t>
      </w:r>
      <w:r>
        <w:rPr>
          <w:rFonts w:hint="eastAsia" w:ascii="宋体" w:hAnsi="宋体" w:cs="微软雅黑"/>
          <w:szCs w:val="21"/>
        </w:rPr>
        <w:t>℃；</w:t>
      </w:r>
    </w:p>
    <w:p>
      <w:pPr>
        <w:spacing w:line="400" w:lineRule="exact"/>
        <w:rPr>
          <w:rFonts w:ascii="宋体" w:hAnsi="宋体" w:cs="微软雅黑"/>
          <w:szCs w:val="21"/>
        </w:rPr>
      </w:pPr>
      <w:r>
        <w:rPr>
          <w:rFonts w:hint="eastAsia" w:ascii="宋体" w:hAnsi="宋体" w:cs="微软雅黑"/>
          <w:szCs w:val="21"/>
        </w:rPr>
        <w:t xml:space="preserve">6、皮肤温度传感器测得的温度与控制温度之差：≤ </w:t>
      </w:r>
      <w:r>
        <w:rPr>
          <w:rFonts w:ascii="宋体" w:hAnsi="宋体" w:cs="微软雅黑"/>
          <w:szCs w:val="21"/>
        </w:rPr>
        <w:t>0.5</w:t>
      </w:r>
      <w:r>
        <w:rPr>
          <w:rFonts w:hint="eastAsia" w:ascii="宋体" w:hAnsi="宋体" w:cs="微软雅黑"/>
          <w:szCs w:val="21"/>
        </w:rPr>
        <w:t>℃；</w:t>
      </w:r>
    </w:p>
    <w:p>
      <w:pPr>
        <w:spacing w:line="400" w:lineRule="exact"/>
        <w:rPr>
          <w:rFonts w:ascii="宋体" w:hAnsi="宋体" w:cs="微软雅黑"/>
          <w:szCs w:val="21"/>
        </w:rPr>
      </w:pPr>
      <w:r>
        <w:rPr>
          <w:rFonts w:hint="eastAsia" w:ascii="宋体" w:hAnsi="宋体" w:cs="微软雅黑"/>
          <w:szCs w:val="21"/>
        </w:rPr>
        <w:t xml:space="preserve">7、床面温度均匀性：≤ </w:t>
      </w:r>
      <w:r>
        <w:rPr>
          <w:rFonts w:ascii="宋体" w:hAnsi="宋体" w:cs="微软雅黑"/>
          <w:szCs w:val="21"/>
        </w:rPr>
        <w:t>2</w:t>
      </w:r>
      <w:r>
        <w:rPr>
          <w:rFonts w:hint="eastAsia" w:ascii="宋体" w:hAnsi="宋体" w:cs="微软雅黑"/>
          <w:szCs w:val="21"/>
        </w:rPr>
        <w:t>℃；</w:t>
      </w:r>
    </w:p>
    <w:p>
      <w:pPr>
        <w:spacing w:line="400" w:lineRule="exact"/>
        <w:rPr>
          <w:rFonts w:ascii="宋体" w:hAnsi="宋体" w:cs="微软雅黑"/>
          <w:szCs w:val="21"/>
        </w:rPr>
      </w:pPr>
      <w:r>
        <w:rPr>
          <w:rFonts w:hint="eastAsia" w:ascii="宋体" w:hAnsi="宋体" w:cs="微软雅黑"/>
          <w:szCs w:val="21"/>
        </w:rPr>
        <w:t>8、★皮肤温度传感器精度：±0.2℃内；</w:t>
      </w:r>
    </w:p>
    <w:p>
      <w:pPr>
        <w:spacing w:line="400" w:lineRule="exact"/>
        <w:rPr>
          <w:rFonts w:ascii="宋体" w:hAnsi="宋体" w:cs="微软雅黑"/>
          <w:szCs w:val="21"/>
        </w:rPr>
      </w:pPr>
      <w:r>
        <w:rPr>
          <w:rFonts w:hint="eastAsia" w:ascii="宋体" w:hAnsi="宋体" w:cs="微软雅黑"/>
          <w:szCs w:val="21"/>
        </w:rPr>
        <w:t>9、脉搏血氧性能指标：</w:t>
      </w:r>
    </w:p>
    <w:p>
      <w:pPr>
        <w:spacing w:line="400" w:lineRule="exact"/>
        <w:rPr>
          <w:rFonts w:ascii="宋体" w:hAnsi="宋体" w:cs="微软雅黑"/>
          <w:szCs w:val="21"/>
        </w:rPr>
      </w:pPr>
      <w:r>
        <w:rPr>
          <w:rFonts w:ascii="宋体" w:hAnsi="宋体" w:cs="微软雅黑"/>
          <w:szCs w:val="21"/>
        </w:rPr>
        <w:t>SpO</w:t>
      </w:r>
      <w:r>
        <w:rPr>
          <w:rFonts w:ascii="Cambria Math" w:hAnsi="Cambria Math" w:cs="Cambria Math"/>
          <w:szCs w:val="21"/>
        </w:rPr>
        <w:t>₂</w:t>
      </w:r>
      <w:r>
        <w:rPr>
          <w:rFonts w:hint="eastAsia" w:ascii="宋体" w:hAnsi="宋体" w:cs="微软雅黑"/>
          <w:szCs w:val="21"/>
        </w:rPr>
        <w:t>显示范围：1%～100%</w:t>
      </w:r>
    </w:p>
    <w:p>
      <w:pPr>
        <w:spacing w:line="400" w:lineRule="exact"/>
        <w:rPr>
          <w:rFonts w:ascii="宋体" w:hAnsi="宋体" w:cs="微软雅黑"/>
          <w:szCs w:val="21"/>
        </w:rPr>
      </w:pPr>
      <w:r>
        <w:rPr>
          <w:rFonts w:ascii="宋体" w:hAnsi="宋体" w:cs="微软雅黑"/>
          <w:szCs w:val="21"/>
        </w:rPr>
        <w:t>SpO</w:t>
      </w:r>
      <w:r>
        <w:rPr>
          <w:rFonts w:ascii="Cambria Math" w:hAnsi="Cambria Math" w:cs="Cambria Math"/>
          <w:szCs w:val="21"/>
        </w:rPr>
        <w:t>₂</w:t>
      </w:r>
      <w:r>
        <w:rPr>
          <w:rFonts w:hint="eastAsia" w:ascii="宋体" w:hAnsi="宋体" w:cs="微软雅黑"/>
          <w:szCs w:val="21"/>
        </w:rPr>
        <w:t>显示分辨度：1%</w:t>
      </w:r>
    </w:p>
    <w:p>
      <w:pPr>
        <w:spacing w:line="400" w:lineRule="exact"/>
        <w:rPr>
          <w:rFonts w:ascii="宋体" w:hAnsi="宋体" w:cs="微软雅黑"/>
          <w:szCs w:val="21"/>
        </w:rPr>
      </w:pPr>
      <w:r>
        <w:rPr>
          <w:rFonts w:ascii="宋体" w:hAnsi="宋体" w:cs="微软雅黑"/>
          <w:szCs w:val="21"/>
        </w:rPr>
        <w:t>SpO</w:t>
      </w:r>
      <w:r>
        <w:rPr>
          <w:rFonts w:ascii="Cambria Math" w:hAnsi="Cambria Math" w:cs="Cambria Math"/>
          <w:szCs w:val="21"/>
        </w:rPr>
        <w:t>₂</w:t>
      </w:r>
      <w:r>
        <w:rPr>
          <w:rFonts w:hint="eastAsia" w:ascii="宋体" w:hAnsi="宋体" w:cs="微软雅黑"/>
          <w:szCs w:val="21"/>
        </w:rPr>
        <w:t>测量精度：在 70%～100%内，无体动状态下：±3%</w:t>
      </w:r>
    </w:p>
    <w:p>
      <w:pPr>
        <w:spacing w:line="400" w:lineRule="exact"/>
        <w:rPr>
          <w:rFonts w:ascii="宋体" w:hAnsi="宋体" w:cs="微软雅黑"/>
          <w:szCs w:val="21"/>
        </w:rPr>
      </w:pPr>
      <w:r>
        <w:rPr>
          <w:rFonts w:ascii="宋体" w:hAnsi="宋体" w:cs="微软雅黑"/>
          <w:szCs w:val="21"/>
        </w:rPr>
        <w:t>SpO</w:t>
      </w:r>
      <w:r>
        <w:rPr>
          <w:rFonts w:ascii="Cambria Math" w:hAnsi="Cambria Math" w:cs="Cambria Math"/>
          <w:szCs w:val="21"/>
        </w:rPr>
        <w:t>₂</w:t>
      </w:r>
      <w:r>
        <w:rPr>
          <w:rFonts w:hint="eastAsia" w:ascii="宋体" w:hAnsi="宋体" w:cs="微软雅黑"/>
          <w:szCs w:val="21"/>
        </w:rPr>
        <w:t>报警上限设置范围：50%～100%</w:t>
      </w:r>
    </w:p>
    <w:p>
      <w:pPr>
        <w:spacing w:line="400" w:lineRule="exact"/>
        <w:rPr>
          <w:rFonts w:ascii="宋体" w:hAnsi="宋体" w:cs="微软雅黑"/>
          <w:szCs w:val="21"/>
        </w:rPr>
      </w:pPr>
      <w:r>
        <w:rPr>
          <w:rFonts w:ascii="宋体" w:hAnsi="宋体" w:cs="微软雅黑"/>
          <w:szCs w:val="21"/>
        </w:rPr>
        <w:t>SpO</w:t>
      </w:r>
      <w:r>
        <w:rPr>
          <w:rFonts w:ascii="Cambria Math" w:hAnsi="Cambria Math" w:cs="Cambria Math"/>
          <w:szCs w:val="21"/>
        </w:rPr>
        <w:t>₂</w:t>
      </w:r>
      <w:r>
        <w:rPr>
          <w:rFonts w:hint="eastAsia" w:ascii="宋体" w:hAnsi="宋体" w:cs="微软雅黑"/>
          <w:szCs w:val="21"/>
        </w:rPr>
        <w:t>报警下限设置范围：45%～95%</w:t>
      </w:r>
    </w:p>
    <w:p>
      <w:pPr>
        <w:spacing w:line="400" w:lineRule="exact"/>
        <w:rPr>
          <w:rFonts w:ascii="宋体" w:hAnsi="宋体" w:cs="微软雅黑"/>
          <w:szCs w:val="21"/>
        </w:rPr>
      </w:pPr>
      <w:r>
        <w:rPr>
          <w:rFonts w:hint="eastAsia" w:ascii="宋体" w:hAnsi="宋体" w:cs="微软雅黑"/>
          <w:szCs w:val="21"/>
        </w:rPr>
        <w:t>PR 显示范围：25b</w:t>
      </w:r>
      <w:r>
        <w:rPr>
          <w:rFonts w:ascii="宋体" w:hAnsi="宋体" w:cs="微软雅黑"/>
          <w:szCs w:val="21"/>
        </w:rPr>
        <w:t>pm</w:t>
      </w:r>
      <w:r>
        <w:rPr>
          <w:rFonts w:hint="eastAsia" w:ascii="宋体" w:hAnsi="宋体" w:cs="微软雅黑"/>
          <w:szCs w:val="21"/>
        </w:rPr>
        <w:t>～240</w:t>
      </w:r>
      <w:r>
        <w:rPr>
          <w:rFonts w:ascii="宋体" w:hAnsi="宋体" w:cs="微软雅黑"/>
          <w:szCs w:val="21"/>
        </w:rPr>
        <w:t>bpm</w:t>
      </w:r>
    </w:p>
    <w:p>
      <w:pPr>
        <w:spacing w:line="400" w:lineRule="exact"/>
        <w:rPr>
          <w:rFonts w:ascii="宋体" w:hAnsi="宋体" w:cs="微软雅黑"/>
          <w:szCs w:val="21"/>
        </w:rPr>
      </w:pPr>
      <w:r>
        <w:rPr>
          <w:rFonts w:ascii="宋体" w:hAnsi="宋体" w:cs="微软雅黑"/>
          <w:szCs w:val="21"/>
        </w:rPr>
        <w:t>PR</w:t>
      </w:r>
      <w:r>
        <w:rPr>
          <w:rFonts w:hint="eastAsia" w:ascii="宋体" w:hAnsi="宋体" w:cs="微软雅黑"/>
          <w:szCs w:val="21"/>
        </w:rPr>
        <w:t>显示分辨度：1</w:t>
      </w:r>
      <w:r>
        <w:rPr>
          <w:rFonts w:ascii="宋体" w:hAnsi="宋体" w:cs="微软雅黑"/>
          <w:szCs w:val="21"/>
        </w:rPr>
        <w:t>bpm</w:t>
      </w:r>
    </w:p>
    <w:p>
      <w:pPr>
        <w:spacing w:line="400" w:lineRule="exact"/>
        <w:rPr>
          <w:rFonts w:ascii="宋体" w:hAnsi="宋体" w:cs="微软雅黑"/>
          <w:szCs w:val="21"/>
        </w:rPr>
      </w:pPr>
      <w:r>
        <w:rPr>
          <w:rFonts w:hint="eastAsia" w:ascii="宋体" w:hAnsi="宋体" w:cs="微软雅黑"/>
          <w:szCs w:val="21"/>
        </w:rPr>
        <w:t>PR 测量精度：在30</w:t>
      </w:r>
      <w:r>
        <w:rPr>
          <w:rFonts w:ascii="宋体" w:hAnsi="宋体" w:cs="微软雅黑"/>
          <w:szCs w:val="21"/>
        </w:rPr>
        <w:t>bpm</w:t>
      </w:r>
      <w:r>
        <w:rPr>
          <w:rFonts w:hint="eastAsia" w:ascii="宋体" w:hAnsi="宋体" w:cs="微软雅黑"/>
          <w:szCs w:val="21"/>
        </w:rPr>
        <w:t>～240</w:t>
      </w:r>
      <w:r>
        <w:rPr>
          <w:rFonts w:ascii="宋体" w:hAnsi="宋体" w:cs="微软雅黑"/>
          <w:szCs w:val="21"/>
        </w:rPr>
        <w:t>bpm</w:t>
      </w:r>
      <w:r>
        <w:rPr>
          <w:rFonts w:hint="eastAsia" w:ascii="宋体" w:hAnsi="宋体" w:cs="微软雅黑"/>
          <w:szCs w:val="21"/>
        </w:rPr>
        <w:t xml:space="preserve">内，无体动状态下：±3 </w:t>
      </w:r>
      <w:r>
        <w:rPr>
          <w:rFonts w:ascii="宋体" w:hAnsi="宋体" w:cs="微软雅黑"/>
          <w:szCs w:val="21"/>
        </w:rPr>
        <w:t>bpm</w:t>
      </w:r>
    </w:p>
    <w:p>
      <w:pPr>
        <w:spacing w:line="400" w:lineRule="exact"/>
        <w:rPr>
          <w:rFonts w:ascii="宋体" w:hAnsi="宋体" w:cs="微软雅黑"/>
          <w:szCs w:val="21"/>
        </w:rPr>
      </w:pPr>
      <w:r>
        <w:rPr>
          <w:rFonts w:hint="eastAsia" w:ascii="宋体" w:hAnsi="宋体" w:cs="微软雅黑"/>
          <w:szCs w:val="21"/>
        </w:rPr>
        <w:t>PR 报警上限设置范围：80</w:t>
      </w:r>
      <w:r>
        <w:rPr>
          <w:rFonts w:ascii="宋体" w:hAnsi="宋体" w:cs="微软雅黑"/>
          <w:szCs w:val="21"/>
        </w:rPr>
        <w:t>bpm</w:t>
      </w:r>
      <w:r>
        <w:rPr>
          <w:rFonts w:hint="eastAsia" w:ascii="宋体" w:hAnsi="宋体" w:cs="微软雅黑"/>
          <w:szCs w:val="21"/>
        </w:rPr>
        <w:t>～240</w:t>
      </w:r>
      <w:r>
        <w:rPr>
          <w:rFonts w:ascii="宋体" w:hAnsi="宋体" w:cs="微软雅黑"/>
          <w:szCs w:val="21"/>
        </w:rPr>
        <w:t>bpm</w:t>
      </w:r>
    </w:p>
    <w:p>
      <w:pPr>
        <w:spacing w:line="400" w:lineRule="exact"/>
        <w:rPr>
          <w:rFonts w:ascii="宋体" w:hAnsi="宋体" w:cs="微软雅黑"/>
          <w:szCs w:val="21"/>
        </w:rPr>
      </w:pPr>
      <w:r>
        <w:rPr>
          <w:rFonts w:hint="eastAsia" w:ascii="宋体" w:hAnsi="宋体" w:cs="微软雅黑"/>
          <w:szCs w:val="21"/>
        </w:rPr>
        <w:t>PR 报警下限设置范围：35</w:t>
      </w:r>
      <w:r>
        <w:rPr>
          <w:rFonts w:ascii="宋体" w:hAnsi="宋体" w:cs="微软雅黑"/>
          <w:szCs w:val="21"/>
        </w:rPr>
        <w:t>bpm</w:t>
      </w:r>
      <w:r>
        <w:rPr>
          <w:rFonts w:hint="eastAsia" w:ascii="宋体" w:hAnsi="宋体" w:cs="微软雅黑"/>
          <w:szCs w:val="21"/>
        </w:rPr>
        <w:t>～180</w:t>
      </w:r>
      <w:r>
        <w:rPr>
          <w:rFonts w:ascii="宋体" w:hAnsi="宋体" w:cs="微软雅黑"/>
          <w:szCs w:val="21"/>
        </w:rPr>
        <w:t>bpm</w:t>
      </w:r>
    </w:p>
    <w:p>
      <w:pPr>
        <w:spacing w:line="400" w:lineRule="exact"/>
        <w:rPr>
          <w:rFonts w:ascii="宋体" w:hAnsi="宋体" w:cs="微软雅黑"/>
          <w:szCs w:val="21"/>
        </w:rPr>
      </w:pPr>
      <w:r>
        <w:rPr>
          <w:rFonts w:hint="eastAsia" w:ascii="宋体" w:hAnsi="宋体" w:cs="微软雅黑"/>
          <w:szCs w:val="21"/>
        </w:rPr>
        <w:t>PI 显示范围：0.02%～20.00%</w:t>
      </w:r>
    </w:p>
    <w:p>
      <w:pPr>
        <w:spacing w:line="400" w:lineRule="exact"/>
        <w:rPr>
          <w:rFonts w:ascii="宋体" w:hAnsi="宋体" w:cs="微软雅黑"/>
          <w:szCs w:val="21"/>
        </w:rPr>
      </w:pPr>
      <w:r>
        <w:rPr>
          <w:rFonts w:hint="eastAsia" w:ascii="宋体" w:hAnsi="宋体" w:cs="微软雅黑"/>
          <w:szCs w:val="21"/>
        </w:rPr>
        <w:t xml:space="preserve">PI 显示分辨率：0.01% </w:t>
      </w:r>
    </w:p>
    <w:p>
      <w:pPr>
        <w:spacing w:line="400" w:lineRule="exact"/>
        <w:rPr>
          <w:rFonts w:ascii="宋体" w:hAnsi="宋体" w:cs="微软雅黑"/>
          <w:szCs w:val="21"/>
        </w:rPr>
      </w:pPr>
      <w:r>
        <w:rPr>
          <w:rFonts w:hint="eastAsia" w:ascii="宋体" w:hAnsi="宋体" w:cs="微软雅黑"/>
          <w:szCs w:val="21"/>
        </w:rPr>
        <w:t>灵敏度设置：</w:t>
      </w:r>
      <w:r>
        <w:rPr>
          <w:rFonts w:ascii="宋体" w:hAnsi="宋体" w:cs="微软雅黑"/>
          <w:szCs w:val="21"/>
        </w:rPr>
        <w:t>Normal、APOD、Max，预设为 Normal</w:t>
      </w:r>
    </w:p>
    <w:p>
      <w:pPr>
        <w:spacing w:line="400" w:lineRule="exact"/>
        <w:rPr>
          <w:rFonts w:ascii="宋体" w:hAnsi="宋体" w:cs="微软雅黑"/>
          <w:szCs w:val="21"/>
        </w:rPr>
      </w:pPr>
      <w:r>
        <w:rPr>
          <w:rFonts w:ascii="宋体" w:hAnsi="宋体" w:cs="微软雅黑"/>
          <w:szCs w:val="21"/>
        </w:rPr>
        <w:t>FastSAT: 关闭、启用，预设为关闭</w:t>
      </w:r>
    </w:p>
    <w:p>
      <w:pPr>
        <w:spacing w:line="400" w:lineRule="exact"/>
        <w:rPr>
          <w:rFonts w:ascii="宋体" w:hAnsi="宋体" w:cs="微软雅黑"/>
          <w:szCs w:val="21"/>
        </w:rPr>
      </w:pPr>
      <w:r>
        <w:rPr>
          <w:rFonts w:hint="eastAsia" w:ascii="宋体" w:hAnsi="宋体" w:cs="微软雅黑"/>
          <w:szCs w:val="21"/>
        </w:rPr>
        <w:t>平均化时间：2s～4s、4s～6s、8s、10s、12s、14s、16s，预设为8s；</w:t>
      </w:r>
    </w:p>
    <w:p>
      <w:pPr>
        <w:spacing w:line="400" w:lineRule="exact"/>
        <w:rPr>
          <w:rFonts w:hint="eastAsia" w:ascii="宋体" w:hAnsi="宋体" w:cs="微软雅黑"/>
          <w:szCs w:val="21"/>
        </w:rPr>
      </w:pPr>
      <w:r>
        <w:rPr>
          <w:rFonts w:hint="eastAsia" w:ascii="宋体" w:hAnsi="宋体" w:cs="微软雅黑"/>
          <w:szCs w:val="21"/>
        </w:rPr>
        <w:t>10、★报警项目</w:t>
      </w:r>
      <w:r>
        <w:rPr>
          <w:rFonts w:ascii="宋体" w:hAnsi="宋体" w:cs="微软雅黑"/>
          <w:szCs w:val="21"/>
        </w:rPr>
        <w:t>：断电</w:t>
      </w:r>
      <w:r>
        <w:rPr>
          <w:rFonts w:hint="eastAsia" w:ascii="宋体" w:hAnsi="宋体" w:cs="微软雅黑"/>
          <w:szCs w:val="21"/>
        </w:rPr>
        <w:t>报警，</w:t>
      </w:r>
      <w:r>
        <w:rPr>
          <w:rFonts w:ascii="宋体" w:hAnsi="宋体" w:cs="微软雅黑"/>
          <w:szCs w:val="21"/>
        </w:rPr>
        <w:t>传感器报警</w:t>
      </w:r>
      <w:r>
        <w:rPr>
          <w:rFonts w:hint="eastAsia" w:ascii="宋体" w:hAnsi="宋体" w:cs="微软雅黑"/>
          <w:szCs w:val="21"/>
        </w:rPr>
        <w:t>，</w:t>
      </w:r>
      <w:r>
        <w:rPr>
          <w:rFonts w:ascii="宋体" w:hAnsi="宋体" w:cs="微软雅黑"/>
          <w:szCs w:val="21"/>
        </w:rPr>
        <w:t>偏差报警</w:t>
      </w:r>
      <w:r>
        <w:rPr>
          <w:rFonts w:hint="eastAsia" w:ascii="宋体" w:hAnsi="宋体" w:cs="微软雅黑"/>
          <w:szCs w:val="21"/>
        </w:rPr>
        <w:t>，</w:t>
      </w:r>
      <w:r>
        <w:rPr>
          <w:rFonts w:ascii="宋体" w:hAnsi="宋体" w:cs="微软雅黑"/>
          <w:szCs w:val="21"/>
        </w:rPr>
        <w:t>超温报警</w:t>
      </w:r>
      <w:r>
        <w:rPr>
          <w:rFonts w:hint="eastAsia" w:ascii="宋体" w:hAnsi="宋体" w:cs="微软雅黑"/>
          <w:szCs w:val="21"/>
        </w:rPr>
        <w:t>，设置报警、检查报警、系统报警，血氧报警，</w:t>
      </w:r>
      <w:r>
        <w:rPr>
          <w:rFonts w:ascii="宋体" w:hAnsi="宋体" w:cs="微软雅黑"/>
          <w:szCs w:val="21"/>
        </w:rPr>
        <w:t>SpO₂</w:t>
      </w:r>
      <w:r>
        <w:rPr>
          <w:rFonts w:hint="eastAsia" w:ascii="宋体" w:hAnsi="宋体" w:cs="微软雅黑"/>
          <w:szCs w:val="21"/>
        </w:rPr>
        <w:t>上限报警、</w:t>
      </w:r>
      <w:r>
        <w:rPr>
          <w:rFonts w:ascii="宋体" w:hAnsi="宋体" w:cs="微软雅黑"/>
          <w:szCs w:val="21"/>
        </w:rPr>
        <w:t>SpO₂</w:t>
      </w:r>
      <w:r>
        <w:rPr>
          <w:rFonts w:hint="eastAsia" w:ascii="宋体" w:hAnsi="宋体" w:cs="微软雅黑"/>
          <w:szCs w:val="21"/>
        </w:rPr>
        <w:t>下限报警，脉搏上限报警、脉搏下限报警，系统提示；</w:t>
      </w:r>
    </w:p>
    <w:p>
      <w:pPr>
        <w:spacing w:line="400" w:lineRule="exact"/>
        <w:rPr>
          <w:rFonts w:ascii="宋体" w:hAnsi="宋体" w:cs="微软雅黑"/>
          <w:szCs w:val="21"/>
        </w:rPr>
      </w:pPr>
      <w:r>
        <w:rPr>
          <w:rFonts w:hint="eastAsia" w:ascii="宋体" w:hAnsi="宋体" w:cs="微软雅黑"/>
          <w:szCs w:val="21"/>
        </w:rPr>
        <w:t>11、负压吸引装置：</w:t>
      </w:r>
      <w:r>
        <w:rPr>
          <w:rFonts w:ascii="宋体" w:hAnsi="宋体" w:cs="微软雅黑"/>
          <w:szCs w:val="21"/>
        </w:rPr>
        <w:t>负压调节范围</w:t>
      </w:r>
      <w:r>
        <w:rPr>
          <w:rFonts w:hint="eastAsia" w:ascii="宋体" w:hAnsi="宋体" w:cs="微软雅黑"/>
          <w:szCs w:val="21"/>
        </w:rPr>
        <w:t>：</w:t>
      </w:r>
      <w:r>
        <w:rPr>
          <w:rFonts w:ascii="宋体" w:hAnsi="宋体" w:cs="微软雅黑"/>
          <w:szCs w:val="21"/>
        </w:rPr>
        <w:t>0kPa</w:t>
      </w:r>
      <w:r>
        <w:rPr>
          <w:rFonts w:hint="eastAsia" w:ascii="宋体" w:hAnsi="宋体" w:cs="微软雅黑"/>
          <w:szCs w:val="21"/>
        </w:rPr>
        <w:t>～</w:t>
      </w:r>
      <w:r>
        <w:rPr>
          <w:rFonts w:ascii="宋体" w:hAnsi="宋体" w:cs="微软雅黑"/>
          <w:szCs w:val="21"/>
        </w:rPr>
        <w:t>22kPa</w:t>
      </w:r>
      <w:r>
        <w:rPr>
          <w:rFonts w:hint="eastAsia" w:ascii="宋体" w:hAnsi="宋体" w:cs="微软雅黑"/>
          <w:szCs w:val="21"/>
        </w:rPr>
        <w:t>，</w:t>
      </w:r>
      <w:r>
        <w:rPr>
          <w:rFonts w:ascii="宋体" w:hAnsi="宋体" w:cs="微软雅黑"/>
          <w:szCs w:val="21"/>
        </w:rPr>
        <w:t>储液瓶容量为 1000ml</w:t>
      </w:r>
      <w:r>
        <w:rPr>
          <w:rFonts w:hint="eastAsia" w:ascii="宋体" w:hAnsi="宋体" w:cs="微软雅黑"/>
          <w:szCs w:val="21"/>
        </w:rPr>
        <w:t>，</w:t>
      </w:r>
      <w:r>
        <w:rPr>
          <w:rFonts w:ascii="宋体" w:hAnsi="宋体" w:cs="微软雅黑"/>
          <w:szCs w:val="21"/>
        </w:rPr>
        <w:t>气流流量小于 20L/min</w:t>
      </w:r>
      <w:r>
        <w:rPr>
          <w:rFonts w:hint="eastAsia" w:ascii="宋体" w:hAnsi="宋体" w:cs="微软雅黑"/>
          <w:szCs w:val="21"/>
        </w:rPr>
        <w:t>；</w:t>
      </w:r>
    </w:p>
    <w:p>
      <w:pPr>
        <w:spacing w:line="400" w:lineRule="exact"/>
        <w:rPr>
          <w:rFonts w:ascii="宋体" w:hAnsi="宋体" w:cs="微软雅黑"/>
          <w:szCs w:val="21"/>
        </w:rPr>
      </w:pPr>
      <w:r>
        <w:rPr>
          <w:rFonts w:hint="eastAsia" w:ascii="宋体" w:hAnsi="宋体" w:cs="微软雅黑"/>
          <w:szCs w:val="21"/>
        </w:rPr>
        <w:t>12、氧浓度设置范围：21%～100%；精度：≤±3%O2（V/V）</w:t>
      </w:r>
    </w:p>
    <w:p>
      <w:pPr>
        <w:spacing w:line="400" w:lineRule="exact"/>
        <w:rPr>
          <w:rFonts w:ascii="宋体" w:hAnsi="宋体" w:cs="微软雅黑"/>
          <w:szCs w:val="21"/>
        </w:rPr>
      </w:pPr>
      <w:r>
        <w:rPr>
          <w:rFonts w:hint="eastAsia" w:ascii="宋体" w:hAnsi="宋体" w:cs="微软雅黑"/>
          <w:szCs w:val="21"/>
        </w:rPr>
        <w:t>13、流量设置范围：</w:t>
      </w:r>
      <w:r>
        <w:rPr>
          <w:rFonts w:ascii="宋体" w:hAnsi="宋体" w:cs="微软雅黑"/>
          <w:szCs w:val="21"/>
        </w:rPr>
        <w:t>0</w:t>
      </w:r>
      <w:r>
        <w:rPr>
          <w:rFonts w:hint="eastAsia" w:ascii="宋体" w:hAnsi="宋体" w:cs="微软雅黑"/>
          <w:szCs w:val="21"/>
        </w:rPr>
        <w:t>～</w:t>
      </w:r>
      <w:r>
        <w:rPr>
          <w:rFonts w:ascii="宋体" w:hAnsi="宋体" w:cs="微软雅黑"/>
          <w:szCs w:val="21"/>
        </w:rPr>
        <w:t>15L/min</w:t>
      </w:r>
    </w:p>
    <w:p>
      <w:pPr>
        <w:spacing w:line="400" w:lineRule="exact"/>
        <w:rPr>
          <w:rFonts w:ascii="宋体" w:hAnsi="宋体" w:cs="微软雅黑"/>
          <w:szCs w:val="21"/>
        </w:rPr>
      </w:pPr>
      <w:r>
        <w:rPr>
          <w:rFonts w:hint="eastAsia" w:ascii="宋体" w:hAnsi="宋体" w:cs="微软雅黑"/>
          <w:szCs w:val="21"/>
        </w:rPr>
        <w:t>14、复苏气体流量范围：5-15L/min（要求气源可设置该流量范围）</w:t>
      </w:r>
    </w:p>
    <w:p>
      <w:pPr>
        <w:spacing w:line="400" w:lineRule="exact"/>
        <w:rPr>
          <w:rFonts w:ascii="宋体" w:hAnsi="宋体" w:cs="微软雅黑"/>
          <w:szCs w:val="21"/>
        </w:rPr>
      </w:pPr>
      <w:r>
        <w:rPr>
          <w:rFonts w:hint="eastAsia" w:ascii="宋体" w:hAnsi="宋体" w:cs="微软雅黑"/>
          <w:szCs w:val="21"/>
        </w:rPr>
        <w:t>15、输出压力：</w:t>
      </w:r>
    </w:p>
    <w:p>
      <w:pPr>
        <w:spacing w:line="400" w:lineRule="exact"/>
        <w:rPr>
          <w:rFonts w:ascii="宋体" w:hAnsi="宋体" w:cs="微软雅黑"/>
          <w:szCs w:val="21"/>
        </w:rPr>
      </w:pPr>
      <w:r>
        <w:rPr>
          <w:rFonts w:hint="eastAsia" w:ascii="宋体" w:hAnsi="宋体" w:cs="微软雅黑"/>
          <w:szCs w:val="21"/>
        </w:rPr>
        <w:t>15.1气源输入流量为5L/min时，正常使用状态下，患者连接口输出压力至少达到45cmH2O；</w:t>
      </w:r>
    </w:p>
    <w:p>
      <w:pPr>
        <w:spacing w:line="400" w:lineRule="exact"/>
        <w:rPr>
          <w:rFonts w:ascii="宋体" w:hAnsi="宋体" w:cs="微软雅黑"/>
          <w:szCs w:val="21"/>
        </w:rPr>
      </w:pPr>
      <w:r>
        <w:rPr>
          <w:rFonts w:hint="eastAsia" w:ascii="宋体" w:hAnsi="宋体" w:cs="微软雅黑"/>
          <w:szCs w:val="21"/>
        </w:rPr>
        <w:t>15.</w:t>
      </w:r>
      <w:r>
        <w:rPr>
          <w:rFonts w:ascii="宋体" w:hAnsi="宋体" w:cs="微软雅黑"/>
          <w:szCs w:val="21"/>
        </w:rPr>
        <w:t>2</w:t>
      </w:r>
      <w:r>
        <w:rPr>
          <w:rFonts w:hint="eastAsia" w:ascii="宋体" w:hAnsi="宋体" w:cs="微软雅黑"/>
          <w:szCs w:val="21"/>
        </w:rPr>
        <w:t>气源供应流量为 15L/min时，正常使用状态下，患者连接口输出压力不超过60cmH2O。</w:t>
      </w:r>
    </w:p>
    <w:p>
      <w:pPr>
        <w:spacing w:line="400" w:lineRule="exact"/>
        <w:rPr>
          <w:rFonts w:ascii="宋体" w:hAnsi="宋体" w:cs="微软雅黑"/>
          <w:szCs w:val="21"/>
        </w:rPr>
      </w:pPr>
      <w:r>
        <w:rPr>
          <w:rFonts w:hint="eastAsia" w:ascii="宋体" w:hAnsi="宋体" w:cs="微软雅黑"/>
          <w:szCs w:val="21"/>
        </w:rPr>
        <w:t>16、最大安全压力设置范围： 1cmH2O~60cmH2O内，（出厂以及检测默认设置为 40cmH2O）</w:t>
      </w:r>
    </w:p>
    <w:p>
      <w:pPr>
        <w:spacing w:line="400" w:lineRule="exact"/>
        <w:rPr>
          <w:rFonts w:ascii="宋体" w:hAnsi="宋体" w:cs="微软雅黑"/>
          <w:szCs w:val="21"/>
        </w:rPr>
      </w:pPr>
      <w:r>
        <w:rPr>
          <w:rFonts w:hint="eastAsia" w:ascii="宋体" w:hAnsi="宋体" w:cs="微软雅黑"/>
          <w:szCs w:val="21"/>
        </w:rPr>
        <w:t>17、吸气峰压（PIP）设置范围：当流量为 8L/min，2～58cmH2O，出厂以及检测默认设置值：20cmH2O，可调节</w:t>
      </w:r>
    </w:p>
    <w:p>
      <w:pPr>
        <w:spacing w:line="400" w:lineRule="exact"/>
        <w:rPr>
          <w:rFonts w:ascii="宋体" w:hAnsi="宋体" w:cs="微软雅黑"/>
          <w:szCs w:val="21"/>
        </w:rPr>
      </w:pPr>
      <w:r>
        <w:rPr>
          <w:rFonts w:hint="eastAsia" w:ascii="宋体" w:hAnsi="宋体" w:cs="微软雅黑"/>
          <w:szCs w:val="21"/>
        </w:rPr>
        <w:t>18、呼气末正压（PEEP）设置范围：当流量为 8L/min，0.2～17cmH2O</w:t>
      </w:r>
    </w:p>
    <w:p>
      <w:pPr>
        <w:spacing w:line="400" w:lineRule="exact"/>
        <w:rPr>
          <w:rFonts w:ascii="宋体" w:hAnsi="宋体" w:cs="微软雅黑"/>
          <w:szCs w:val="21"/>
        </w:rPr>
      </w:pPr>
      <w:r>
        <w:rPr>
          <w:rFonts w:hint="eastAsia" w:ascii="宋体" w:hAnsi="宋体" w:cs="微软雅黑"/>
          <w:szCs w:val="21"/>
        </w:rPr>
        <w:t>19、工作适用时间：（400L，50%空氧混合气），当流量为 10L/min 时，38min</w:t>
      </w:r>
    </w:p>
    <w:p>
      <w:pPr>
        <w:spacing w:line="400" w:lineRule="exact"/>
        <w:rPr>
          <w:rFonts w:ascii="宋体" w:hAnsi="宋体" w:cs="微软雅黑"/>
          <w:szCs w:val="21"/>
        </w:rPr>
      </w:pPr>
      <w:r>
        <w:rPr>
          <w:rFonts w:hint="eastAsia" w:ascii="宋体" w:hAnsi="宋体" w:cs="微软雅黑"/>
          <w:szCs w:val="21"/>
        </w:rPr>
        <w:t>20、复苏器及其相关附件的死腔体积：≤6ml</w:t>
      </w:r>
    </w:p>
    <w:p>
      <w:pPr>
        <w:spacing w:line="400" w:lineRule="exact"/>
        <w:rPr>
          <w:rFonts w:ascii="宋体" w:hAnsi="宋体" w:cs="微软雅黑"/>
          <w:szCs w:val="21"/>
        </w:rPr>
      </w:pPr>
      <w:r>
        <w:rPr>
          <w:rFonts w:hint="eastAsia" w:ascii="宋体" w:hAnsi="宋体" w:cs="微软雅黑"/>
          <w:szCs w:val="21"/>
        </w:rPr>
        <w:t>21、复苏器呼气相的吸气阻抗以及呼气阻抗</w:t>
      </w:r>
    </w:p>
    <w:p>
      <w:pPr>
        <w:spacing w:line="400" w:lineRule="exact"/>
        <w:rPr>
          <w:rFonts w:ascii="宋体" w:hAnsi="宋体" w:cs="微软雅黑"/>
          <w:szCs w:val="21"/>
        </w:rPr>
      </w:pPr>
      <w:r>
        <w:rPr>
          <w:rFonts w:hint="eastAsia" w:ascii="宋体" w:hAnsi="宋体" w:cs="微软雅黑"/>
          <w:szCs w:val="21"/>
        </w:rPr>
        <w:t>21、</w:t>
      </w:r>
      <w:r>
        <w:rPr>
          <w:rFonts w:ascii="宋体" w:hAnsi="宋体" w:cs="微软雅黑"/>
          <w:szCs w:val="21"/>
        </w:rPr>
        <w:t>1</w:t>
      </w:r>
      <w:r>
        <w:rPr>
          <w:rFonts w:hint="eastAsia" w:ascii="宋体" w:hAnsi="宋体" w:cs="微软雅黑"/>
          <w:szCs w:val="21"/>
        </w:rPr>
        <w:t>在呼气相，当吸气流量为 6L/min 时，患者连接口处的压力≥-6cmH2O</w:t>
      </w:r>
    </w:p>
    <w:p>
      <w:pPr>
        <w:spacing w:line="400" w:lineRule="exact"/>
        <w:rPr>
          <w:rFonts w:ascii="宋体" w:hAnsi="宋体" w:cs="微软雅黑"/>
          <w:szCs w:val="21"/>
        </w:rPr>
      </w:pPr>
      <w:r>
        <w:rPr>
          <w:rFonts w:hint="eastAsia" w:ascii="宋体" w:hAnsi="宋体" w:cs="微软雅黑"/>
          <w:szCs w:val="21"/>
        </w:rPr>
        <w:t>21、</w:t>
      </w:r>
      <w:r>
        <w:rPr>
          <w:rFonts w:ascii="宋体" w:hAnsi="宋体" w:cs="微软雅黑"/>
          <w:szCs w:val="21"/>
        </w:rPr>
        <w:t>2</w:t>
      </w:r>
      <w:r>
        <w:rPr>
          <w:rFonts w:hint="eastAsia" w:ascii="宋体" w:hAnsi="宋体" w:cs="微软雅黑"/>
          <w:szCs w:val="21"/>
        </w:rPr>
        <w:t>在吸气相，当呼气流量为 6L/min 时，患者连接口处的压力≤6cmH2O</w:t>
      </w:r>
    </w:p>
    <w:p>
      <w:pPr>
        <w:spacing w:line="400" w:lineRule="exact"/>
        <w:rPr>
          <w:rFonts w:ascii="宋体" w:hAnsi="宋体" w:cs="微软雅黑"/>
          <w:szCs w:val="21"/>
        </w:rPr>
      </w:pPr>
      <w:r>
        <w:rPr>
          <w:rFonts w:hint="eastAsia" w:ascii="宋体" w:hAnsi="宋体" w:cs="微软雅黑"/>
          <w:szCs w:val="21"/>
        </w:rPr>
        <w:t>22、8吋L</w:t>
      </w:r>
      <w:r>
        <w:rPr>
          <w:rFonts w:ascii="宋体" w:hAnsi="宋体" w:cs="微软雅黑"/>
          <w:szCs w:val="21"/>
        </w:rPr>
        <w:t>CD</w:t>
      </w:r>
      <w:r>
        <w:rPr>
          <w:rFonts w:hint="eastAsia" w:ascii="宋体" w:hAnsi="宋体" w:cs="微软雅黑"/>
          <w:szCs w:val="21"/>
        </w:rPr>
        <w:t>彩色触摸屏；</w:t>
      </w:r>
    </w:p>
    <w:p>
      <w:pPr>
        <w:spacing w:line="400" w:lineRule="exact"/>
        <w:rPr>
          <w:rFonts w:ascii="宋体" w:hAnsi="宋体" w:cs="微软雅黑"/>
          <w:szCs w:val="21"/>
        </w:rPr>
      </w:pPr>
      <w:r>
        <w:rPr>
          <w:rFonts w:hint="eastAsia" w:ascii="宋体" w:hAnsi="宋体" w:cs="微软雅黑"/>
          <w:szCs w:val="21"/>
        </w:rPr>
        <w:t>23、★</w:t>
      </w:r>
      <w:r>
        <w:rPr>
          <w:rFonts w:ascii="宋体" w:hAnsi="宋体" w:cs="微软雅黑"/>
          <w:szCs w:val="21"/>
        </w:rPr>
        <w:t>MasimoS</w:t>
      </w:r>
      <w:r>
        <w:rPr>
          <w:rFonts w:hint="eastAsia" w:ascii="宋体" w:hAnsi="宋体" w:cs="微软雅黑"/>
          <w:szCs w:val="21"/>
        </w:rPr>
        <w:t>p</w:t>
      </w:r>
      <w:r>
        <w:rPr>
          <w:rFonts w:ascii="宋体" w:hAnsi="宋体" w:cs="微软雅黑"/>
          <w:szCs w:val="21"/>
        </w:rPr>
        <w:t>O₂</w:t>
      </w:r>
      <w:r>
        <w:rPr>
          <w:rFonts w:hint="eastAsia" w:ascii="宋体" w:hAnsi="宋体" w:cs="微软雅黑"/>
          <w:szCs w:val="21"/>
        </w:rPr>
        <w:t>脉搏血氧监测功能，可进行新生儿危重先天性心脏病（C</w:t>
      </w:r>
      <w:r>
        <w:rPr>
          <w:rFonts w:ascii="宋体" w:hAnsi="宋体" w:cs="微软雅黑"/>
          <w:szCs w:val="21"/>
        </w:rPr>
        <w:t>CHD</w:t>
      </w:r>
      <w:r>
        <w:rPr>
          <w:rFonts w:hint="eastAsia" w:ascii="宋体" w:hAnsi="宋体" w:cs="微软雅黑"/>
          <w:szCs w:val="21"/>
        </w:rPr>
        <w:t>）早期筛查，在低灌注和体动状态下可有效测量血氧脉搏；</w:t>
      </w:r>
    </w:p>
    <w:p>
      <w:pPr>
        <w:spacing w:line="400" w:lineRule="exact"/>
        <w:rPr>
          <w:rFonts w:ascii="宋体" w:hAnsi="宋体" w:cs="微软雅黑"/>
          <w:szCs w:val="21"/>
        </w:rPr>
      </w:pPr>
      <w:r>
        <w:rPr>
          <w:rFonts w:hint="eastAsia" w:ascii="宋体" w:hAnsi="宋体" w:cs="微软雅黑"/>
          <w:szCs w:val="21"/>
        </w:rPr>
        <w:t>24、辐射箱水平角度可调，方便临床护理；</w:t>
      </w:r>
    </w:p>
    <w:p>
      <w:pPr>
        <w:spacing w:line="400" w:lineRule="exact"/>
        <w:rPr>
          <w:rFonts w:ascii="宋体" w:hAnsi="宋体" w:cs="微软雅黑"/>
          <w:szCs w:val="21"/>
        </w:rPr>
      </w:pPr>
      <w:r>
        <w:rPr>
          <w:rFonts w:hint="eastAsia" w:ascii="宋体" w:hAnsi="宋体" w:cs="微软雅黑"/>
          <w:szCs w:val="21"/>
        </w:rPr>
        <w:t>25、婴儿床四周的有机玻璃挡板可向下翻转或拆卸；</w:t>
      </w:r>
    </w:p>
    <w:p>
      <w:pPr>
        <w:spacing w:line="400" w:lineRule="exact"/>
        <w:rPr>
          <w:rFonts w:ascii="宋体" w:hAnsi="宋体" w:cs="微软雅黑"/>
          <w:szCs w:val="21"/>
        </w:rPr>
      </w:pPr>
      <w:r>
        <w:rPr>
          <w:rFonts w:hint="eastAsia" w:ascii="宋体" w:hAnsi="宋体" w:cs="微软雅黑"/>
          <w:szCs w:val="21"/>
        </w:rPr>
        <w:t>26、★双燕尾槽立柱设计，便于安装更多临床医疗器械；</w:t>
      </w:r>
    </w:p>
    <w:p>
      <w:pPr>
        <w:spacing w:line="400" w:lineRule="exact"/>
        <w:rPr>
          <w:rFonts w:ascii="宋体" w:hAnsi="宋体" w:cs="微软雅黑"/>
          <w:szCs w:val="21"/>
        </w:rPr>
      </w:pPr>
      <w:r>
        <w:rPr>
          <w:rFonts w:hint="eastAsia" w:ascii="宋体" w:hAnsi="宋体" w:cs="微软雅黑"/>
          <w:szCs w:val="21"/>
        </w:rPr>
        <w:t>27、★照明灯亮度可调，减少光亮刺激对新生儿的影响；</w:t>
      </w:r>
    </w:p>
    <w:p>
      <w:pPr>
        <w:spacing w:line="400" w:lineRule="exact"/>
        <w:rPr>
          <w:rFonts w:ascii="宋体" w:hAnsi="宋体" w:cs="微软雅黑"/>
          <w:szCs w:val="21"/>
        </w:rPr>
      </w:pPr>
      <w:r>
        <w:rPr>
          <w:rFonts w:hint="eastAsia" w:ascii="宋体" w:hAnsi="宋体" w:cs="微软雅黑"/>
          <w:szCs w:val="21"/>
        </w:rPr>
        <w:t>28、独立的超温保护系统，多种故障报警提示，提供多重安全防护；</w:t>
      </w:r>
    </w:p>
    <w:p>
      <w:pPr>
        <w:spacing w:line="400" w:lineRule="exact"/>
        <w:rPr>
          <w:rFonts w:ascii="宋体" w:hAnsi="宋体" w:cs="微软雅黑"/>
          <w:szCs w:val="21"/>
        </w:rPr>
      </w:pPr>
      <w:r>
        <w:rPr>
          <w:rFonts w:hint="eastAsia" w:ascii="宋体" w:hAnsi="宋体" w:cs="微软雅黑"/>
          <w:szCs w:val="21"/>
        </w:rPr>
        <w:t>29、</w:t>
      </w:r>
      <w:r>
        <w:rPr>
          <w:rFonts w:ascii="宋体" w:hAnsi="宋体" w:cs="微软雅黑"/>
          <w:szCs w:val="21"/>
        </w:rPr>
        <w:t>RS-232</w:t>
      </w:r>
      <w:r>
        <w:rPr>
          <w:rFonts w:hint="eastAsia" w:ascii="宋体" w:hAnsi="宋体" w:cs="微软雅黑"/>
          <w:szCs w:val="21"/>
        </w:rPr>
        <w:t>接口，支持数据传输，具有数据储存功能；</w:t>
      </w:r>
    </w:p>
    <w:p>
      <w:pPr>
        <w:spacing w:line="400" w:lineRule="exact"/>
        <w:rPr>
          <w:rFonts w:ascii="宋体" w:hAnsi="宋体" w:cs="微软雅黑"/>
          <w:szCs w:val="21"/>
        </w:rPr>
      </w:pPr>
      <w:r>
        <w:rPr>
          <w:rFonts w:hint="eastAsia" w:ascii="宋体" w:hAnsi="宋体" w:cs="微软雅黑"/>
          <w:szCs w:val="21"/>
        </w:rPr>
        <w:t>30、</w:t>
      </w:r>
      <w:r>
        <w:rPr>
          <w:rFonts w:ascii="宋体" w:hAnsi="宋体" w:cs="微软雅黑"/>
          <w:szCs w:val="21"/>
        </w:rPr>
        <w:t>APGAR 评分</w:t>
      </w:r>
      <w:r>
        <w:rPr>
          <w:rFonts w:hint="eastAsia" w:ascii="宋体" w:hAnsi="宋体" w:cs="微软雅黑"/>
          <w:szCs w:val="21"/>
        </w:rPr>
        <w:t>：</w:t>
      </w:r>
      <w:r>
        <w:rPr>
          <w:rFonts w:ascii="宋体" w:hAnsi="宋体" w:cs="微软雅黑"/>
          <w:szCs w:val="21"/>
        </w:rPr>
        <w:t xml:space="preserve">运行到 50 秒～1 分钟、 4 分 50 秒～5 分钟、9 分 50 秒～10 </w:t>
      </w:r>
      <w:r>
        <w:rPr>
          <w:rFonts w:hint="eastAsia" w:ascii="宋体" w:hAnsi="宋体" w:cs="微软雅黑"/>
          <w:szCs w:val="21"/>
        </w:rPr>
        <w:t>分钟时</w:t>
      </w:r>
      <w:r>
        <w:rPr>
          <w:rFonts w:ascii="宋体" w:hAnsi="宋体" w:cs="微软雅黑"/>
          <w:szCs w:val="21"/>
        </w:rPr>
        <w:t>发出声光提示</w:t>
      </w:r>
      <w:r>
        <w:rPr>
          <w:rFonts w:hint="eastAsia" w:ascii="宋体" w:hAnsi="宋体" w:cs="微软雅黑"/>
          <w:szCs w:val="21"/>
        </w:rPr>
        <w:t>。</w:t>
      </w:r>
    </w:p>
    <w:sectPr>
      <w:footerReference r:id="rId3" w:type="default"/>
      <w:pgSz w:w="11906" w:h="16838"/>
      <w:pgMar w:top="1134" w:right="779" w:bottom="1134" w:left="1134" w:header="851" w:footer="992" w:gutter="567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0068191"/>
    </w:sdtPr>
    <w:sdtEndPr>
      <w:rPr>
        <w:rFonts w:asciiTheme="minorEastAsia" w:hAnsiTheme="minorEastAsia" w:eastAsiaTheme="minorEastAsia"/>
        <w:sz w:val="21"/>
        <w:szCs w:val="21"/>
      </w:rPr>
    </w:sdtEndPr>
    <w:sdtContent>
      <w:sdt>
        <w:sdtPr>
          <w:id w:val="-1705238520"/>
        </w:sdtPr>
        <w:sdtEndPr>
          <w:rPr>
            <w:rFonts w:asciiTheme="minorEastAsia" w:hAnsiTheme="minorEastAsia" w:eastAsiaTheme="minorEastAsia"/>
            <w:sz w:val="21"/>
            <w:szCs w:val="21"/>
          </w:rPr>
        </w:sdtEndPr>
        <w:sdtContent>
          <w:p>
            <w:pPr>
              <w:pStyle w:val="8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第</w:t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fldChar w:fldCharType="begin"/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instrText xml:space="preserve">PAGE</w:instrText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fldChar w:fldCharType="separate"/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t>2</w:t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fldChar w:fldCharType="end"/>
            </w: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页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val="zh-CN"/>
              </w:rPr>
              <w:t>共</w:t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fldChar w:fldCharType="begin"/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instrText xml:space="preserve">NUMPAGES</w:instrText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fldChar w:fldCharType="separate"/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t>2</w:t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fldChar w:fldCharType="end"/>
            </w: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页</w:t>
            </w:r>
          </w:p>
        </w:sdtContent>
      </w:sdt>
    </w:sdtContent>
  </w:sdt>
  <w:p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00407D9E"/>
    <w:rsid w:val="00011CC9"/>
    <w:rsid w:val="00014D8A"/>
    <w:rsid w:val="00027F11"/>
    <w:rsid w:val="00031857"/>
    <w:rsid w:val="00034859"/>
    <w:rsid w:val="00050F11"/>
    <w:rsid w:val="00055ECE"/>
    <w:rsid w:val="000576CD"/>
    <w:rsid w:val="00076F12"/>
    <w:rsid w:val="00081D5B"/>
    <w:rsid w:val="00087E9B"/>
    <w:rsid w:val="000A33A8"/>
    <w:rsid w:val="000B3757"/>
    <w:rsid w:val="000C05F7"/>
    <w:rsid w:val="000C380C"/>
    <w:rsid w:val="000E2530"/>
    <w:rsid w:val="000F0F94"/>
    <w:rsid w:val="00114159"/>
    <w:rsid w:val="00122C2D"/>
    <w:rsid w:val="001246F1"/>
    <w:rsid w:val="00125C5E"/>
    <w:rsid w:val="00136CCA"/>
    <w:rsid w:val="00142198"/>
    <w:rsid w:val="00144D1E"/>
    <w:rsid w:val="001471DC"/>
    <w:rsid w:val="00150AA2"/>
    <w:rsid w:val="00171BC2"/>
    <w:rsid w:val="0018742F"/>
    <w:rsid w:val="00194277"/>
    <w:rsid w:val="00195202"/>
    <w:rsid w:val="00197C4F"/>
    <w:rsid w:val="001B257B"/>
    <w:rsid w:val="001D4D16"/>
    <w:rsid w:val="001E2158"/>
    <w:rsid w:val="001E23FB"/>
    <w:rsid w:val="001E4DA3"/>
    <w:rsid w:val="001F3881"/>
    <w:rsid w:val="00214AF3"/>
    <w:rsid w:val="0021696A"/>
    <w:rsid w:val="00217E6E"/>
    <w:rsid w:val="00217E7D"/>
    <w:rsid w:val="00223E16"/>
    <w:rsid w:val="00227444"/>
    <w:rsid w:val="00240A2E"/>
    <w:rsid w:val="00241D0D"/>
    <w:rsid w:val="0024342D"/>
    <w:rsid w:val="002557AC"/>
    <w:rsid w:val="00262A41"/>
    <w:rsid w:val="0026396B"/>
    <w:rsid w:val="00265207"/>
    <w:rsid w:val="00266F9A"/>
    <w:rsid w:val="00277B54"/>
    <w:rsid w:val="00290173"/>
    <w:rsid w:val="002966A4"/>
    <w:rsid w:val="002B31A9"/>
    <w:rsid w:val="002C77A4"/>
    <w:rsid w:val="002D54A9"/>
    <w:rsid w:val="002E16AD"/>
    <w:rsid w:val="002E3A8E"/>
    <w:rsid w:val="002E48D7"/>
    <w:rsid w:val="002F1C50"/>
    <w:rsid w:val="002F480A"/>
    <w:rsid w:val="002F70EB"/>
    <w:rsid w:val="003334A0"/>
    <w:rsid w:val="00333BE1"/>
    <w:rsid w:val="003442AC"/>
    <w:rsid w:val="00344CB0"/>
    <w:rsid w:val="003477B1"/>
    <w:rsid w:val="00367523"/>
    <w:rsid w:val="00370AE0"/>
    <w:rsid w:val="00372F39"/>
    <w:rsid w:val="00384116"/>
    <w:rsid w:val="003938AE"/>
    <w:rsid w:val="00394E24"/>
    <w:rsid w:val="003A51AA"/>
    <w:rsid w:val="003B2FBC"/>
    <w:rsid w:val="003B3A4F"/>
    <w:rsid w:val="003B3CC0"/>
    <w:rsid w:val="003B539E"/>
    <w:rsid w:val="003D5D61"/>
    <w:rsid w:val="003E5B4F"/>
    <w:rsid w:val="00407D9E"/>
    <w:rsid w:val="00417A91"/>
    <w:rsid w:val="00424FB9"/>
    <w:rsid w:val="004310B6"/>
    <w:rsid w:val="004420F0"/>
    <w:rsid w:val="00446581"/>
    <w:rsid w:val="00465973"/>
    <w:rsid w:val="00476299"/>
    <w:rsid w:val="00477D53"/>
    <w:rsid w:val="00497417"/>
    <w:rsid w:val="004A0D25"/>
    <w:rsid w:val="004C1B63"/>
    <w:rsid w:val="004D3301"/>
    <w:rsid w:val="004D635E"/>
    <w:rsid w:val="004E446F"/>
    <w:rsid w:val="004E5CFA"/>
    <w:rsid w:val="004F204F"/>
    <w:rsid w:val="00507EDF"/>
    <w:rsid w:val="00510919"/>
    <w:rsid w:val="00511680"/>
    <w:rsid w:val="00544ED2"/>
    <w:rsid w:val="005467F6"/>
    <w:rsid w:val="00556AA5"/>
    <w:rsid w:val="00567A96"/>
    <w:rsid w:val="00575C7B"/>
    <w:rsid w:val="00581763"/>
    <w:rsid w:val="00594C2E"/>
    <w:rsid w:val="00596CFC"/>
    <w:rsid w:val="005B1104"/>
    <w:rsid w:val="005B3E8E"/>
    <w:rsid w:val="005D615F"/>
    <w:rsid w:val="005E699B"/>
    <w:rsid w:val="005E6A90"/>
    <w:rsid w:val="005F21CD"/>
    <w:rsid w:val="00621EB1"/>
    <w:rsid w:val="00644272"/>
    <w:rsid w:val="00665ED0"/>
    <w:rsid w:val="00666068"/>
    <w:rsid w:val="006802F5"/>
    <w:rsid w:val="00682F88"/>
    <w:rsid w:val="00686B66"/>
    <w:rsid w:val="00687E20"/>
    <w:rsid w:val="0069114C"/>
    <w:rsid w:val="006A1EBD"/>
    <w:rsid w:val="006D4956"/>
    <w:rsid w:val="006D5F55"/>
    <w:rsid w:val="006F067F"/>
    <w:rsid w:val="00702F5A"/>
    <w:rsid w:val="007213FB"/>
    <w:rsid w:val="00753E7A"/>
    <w:rsid w:val="00755C81"/>
    <w:rsid w:val="00757111"/>
    <w:rsid w:val="00757265"/>
    <w:rsid w:val="007575C9"/>
    <w:rsid w:val="00760418"/>
    <w:rsid w:val="00771061"/>
    <w:rsid w:val="007825D6"/>
    <w:rsid w:val="00783997"/>
    <w:rsid w:val="007911DB"/>
    <w:rsid w:val="00792319"/>
    <w:rsid w:val="00796110"/>
    <w:rsid w:val="007B4415"/>
    <w:rsid w:val="007C5F9B"/>
    <w:rsid w:val="007D4E30"/>
    <w:rsid w:val="007D7B19"/>
    <w:rsid w:val="007F01BB"/>
    <w:rsid w:val="00801608"/>
    <w:rsid w:val="00821CCC"/>
    <w:rsid w:val="00825051"/>
    <w:rsid w:val="00825146"/>
    <w:rsid w:val="008305C0"/>
    <w:rsid w:val="00857AA1"/>
    <w:rsid w:val="008604F6"/>
    <w:rsid w:val="0086099A"/>
    <w:rsid w:val="00871D61"/>
    <w:rsid w:val="00882DB8"/>
    <w:rsid w:val="00892AF9"/>
    <w:rsid w:val="00895EA5"/>
    <w:rsid w:val="008979D8"/>
    <w:rsid w:val="008B1143"/>
    <w:rsid w:val="008B6070"/>
    <w:rsid w:val="008C3D54"/>
    <w:rsid w:val="008C6C75"/>
    <w:rsid w:val="008D48CE"/>
    <w:rsid w:val="00922956"/>
    <w:rsid w:val="00926492"/>
    <w:rsid w:val="00926785"/>
    <w:rsid w:val="009346C7"/>
    <w:rsid w:val="0093637B"/>
    <w:rsid w:val="009408EA"/>
    <w:rsid w:val="00963F42"/>
    <w:rsid w:val="009853E8"/>
    <w:rsid w:val="009908E6"/>
    <w:rsid w:val="009940E1"/>
    <w:rsid w:val="00997D03"/>
    <w:rsid w:val="009A67C6"/>
    <w:rsid w:val="009A781C"/>
    <w:rsid w:val="009B3F8C"/>
    <w:rsid w:val="009B50B0"/>
    <w:rsid w:val="009C46C6"/>
    <w:rsid w:val="009D6873"/>
    <w:rsid w:val="00A005C3"/>
    <w:rsid w:val="00A1127A"/>
    <w:rsid w:val="00A304D9"/>
    <w:rsid w:val="00A42F3F"/>
    <w:rsid w:val="00A446D0"/>
    <w:rsid w:val="00A46CB1"/>
    <w:rsid w:val="00A566DD"/>
    <w:rsid w:val="00A63513"/>
    <w:rsid w:val="00A63FC3"/>
    <w:rsid w:val="00A65DC5"/>
    <w:rsid w:val="00A76878"/>
    <w:rsid w:val="00A81D70"/>
    <w:rsid w:val="00A93EF7"/>
    <w:rsid w:val="00A9507C"/>
    <w:rsid w:val="00AA0C98"/>
    <w:rsid w:val="00AB6919"/>
    <w:rsid w:val="00AC12F9"/>
    <w:rsid w:val="00AC58FE"/>
    <w:rsid w:val="00AC5E36"/>
    <w:rsid w:val="00AC7A96"/>
    <w:rsid w:val="00B460D5"/>
    <w:rsid w:val="00B50E12"/>
    <w:rsid w:val="00B578FC"/>
    <w:rsid w:val="00B60558"/>
    <w:rsid w:val="00B60D77"/>
    <w:rsid w:val="00B93AA4"/>
    <w:rsid w:val="00BB1F91"/>
    <w:rsid w:val="00BB44EC"/>
    <w:rsid w:val="00BD561A"/>
    <w:rsid w:val="00BE0126"/>
    <w:rsid w:val="00BE54AB"/>
    <w:rsid w:val="00BE583E"/>
    <w:rsid w:val="00BF10F1"/>
    <w:rsid w:val="00C0576A"/>
    <w:rsid w:val="00C10E20"/>
    <w:rsid w:val="00C114F1"/>
    <w:rsid w:val="00C24274"/>
    <w:rsid w:val="00C354BF"/>
    <w:rsid w:val="00C467D6"/>
    <w:rsid w:val="00C51651"/>
    <w:rsid w:val="00C86415"/>
    <w:rsid w:val="00C95DBD"/>
    <w:rsid w:val="00CA2974"/>
    <w:rsid w:val="00CA504E"/>
    <w:rsid w:val="00CA554D"/>
    <w:rsid w:val="00CB7B6D"/>
    <w:rsid w:val="00CC3CF3"/>
    <w:rsid w:val="00CC7687"/>
    <w:rsid w:val="00CD0474"/>
    <w:rsid w:val="00CE43DD"/>
    <w:rsid w:val="00CE5342"/>
    <w:rsid w:val="00CE66E2"/>
    <w:rsid w:val="00D008ED"/>
    <w:rsid w:val="00D11832"/>
    <w:rsid w:val="00D274F3"/>
    <w:rsid w:val="00D353E2"/>
    <w:rsid w:val="00D42538"/>
    <w:rsid w:val="00D56E3E"/>
    <w:rsid w:val="00D57919"/>
    <w:rsid w:val="00D67711"/>
    <w:rsid w:val="00D73366"/>
    <w:rsid w:val="00D8481E"/>
    <w:rsid w:val="00D85376"/>
    <w:rsid w:val="00D92073"/>
    <w:rsid w:val="00D96285"/>
    <w:rsid w:val="00DA332A"/>
    <w:rsid w:val="00DB305C"/>
    <w:rsid w:val="00DB75CB"/>
    <w:rsid w:val="00DC2B8E"/>
    <w:rsid w:val="00DD581F"/>
    <w:rsid w:val="00DF2DD3"/>
    <w:rsid w:val="00E03263"/>
    <w:rsid w:val="00E13FDF"/>
    <w:rsid w:val="00E22A57"/>
    <w:rsid w:val="00E22C61"/>
    <w:rsid w:val="00E30322"/>
    <w:rsid w:val="00E408B5"/>
    <w:rsid w:val="00E43528"/>
    <w:rsid w:val="00E46C30"/>
    <w:rsid w:val="00E47CAF"/>
    <w:rsid w:val="00EA5A20"/>
    <w:rsid w:val="00EB2682"/>
    <w:rsid w:val="00EB41A7"/>
    <w:rsid w:val="00ED737A"/>
    <w:rsid w:val="00EE05E0"/>
    <w:rsid w:val="00EF19A0"/>
    <w:rsid w:val="00EF6941"/>
    <w:rsid w:val="00F049A2"/>
    <w:rsid w:val="00F140D8"/>
    <w:rsid w:val="00F17558"/>
    <w:rsid w:val="00F438F2"/>
    <w:rsid w:val="00F44CBD"/>
    <w:rsid w:val="00F51E39"/>
    <w:rsid w:val="00F5530D"/>
    <w:rsid w:val="00F8308A"/>
    <w:rsid w:val="00F86987"/>
    <w:rsid w:val="00F9351A"/>
    <w:rsid w:val="00F9437B"/>
    <w:rsid w:val="00F9690D"/>
    <w:rsid w:val="00FB1D9C"/>
    <w:rsid w:val="00FC1A64"/>
    <w:rsid w:val="00FD4A23"/>
    <w:rsid w:val="00FD5014"/>
    <w:rsid w:val="00FE23ED"/>
    <w:rsid w:val="00FF4296"/>
    <w:rsid w:val="09A27972"/>
    <w:rsid w:val="21AD3061"/>
    <w:rsid w:val="32B5294B"/>
    <w:rsid w:val="475E5ABC"/>
    <w:rsid w:val="5C0C7B6A"/>
    <w:rsid w:val="62C3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  <w:rPr>
      <w:kern w:val="0"/>
      <w:sz w:val="24"/>
      <w:szCs w:val="24"/>
    </w:rPr>
  </w:style>
  <w:style w:type="paragraph" w:styleId="4">
    <w:name w:val="Document Map"/>
    <w:basedOn w:val="1"/>
    <w:semiHidden/>
    <w:qFormat/>
    <w:uiPriority w:val="0"/>
    <w:pPr>
      <w:shd w:val="clear" w:color="auto" w:fill="000080"/>
    </w:pPr>
  </w:style>
  <w:style w:type="paragraph" w:styleId="5">
    <w:name w:val="annotation text"/>
    <w:basedOn w:val="1"/>
    <w:link w:val="19"/>
    <w:unhideWhenUsed/>
    <w:qFormat/>
    <w:uiPriority w:val="0"/>
    <w:pPr>
      <w:jc w:val="left"/>
    </w:pPr>
  </w:style>
  <w:style w:type="paragraph" w:styleId="6">
    <w:name w:val="Date"/>
    <w:basedOn w:val="1"/>
    <w:next w:val="1"/>
    <w:link w:val="23"/>
    <w:qFormat/>
    <w:uiPriority w:val="0"/>
    <w:pPr>
      <w:ind w:left="100" w:leftChars="2500"/>
    </w:pPr>
  </w:style>
  <w:style w:type="paragraph" w:styleId="7">
    <w:name w:val="Balloon Text"/>
    <w:basedOn w:val="1"/>
    <w:link w:val="21"/>
    <w:unhideWhenUsed/>
    <w:qFormat/>
    <w:uiPriority w:val="0"/>
    <w:rPr>
      <w:sz w:val="18"/>
      <w:szCs w:val="18"/>
    </w:rPr>
  </w:style>
  <w:style w:type="paragraph" w:styleId="8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annotation subject"/>
    <w:basedOn w:val="5"/>
    <w:next w:val="5"/>
    <w:link w:val="20"/>
    <w:unhideWhenUsed/>
    <w:qFormat/>
    <w:uiPriority w:val="0"/>
    <w:rPr>
      <w:b/>
      <w:bCs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Emphasis"/>
    <w:basedOn w:val="13"/>
    <w:qFormat/>
    <w:uiPriority w:val="20"/>
    <w:rPr>
      <w:i/>
      <w:iCs/>
    </w:rPr>
  </w:style>
  <w:style w:type="character" w:styleId="15">
    <w:name w:val="annotation reference"/>
    <w:basedOn w:val="13"/>
    <w:unhideWhenUsed/>
    <w:qFormat/>
    <w:uiPriority w:val="0"/>
    <w:rPr>
      <w:sz w:val="21"/>
      <w:szCs w:val="21"/>
    </w:rPr>
  </w:style>
  <w:style w:type="character" w:customStyle="1" w:styleId="16">
    <w:name w:val="页眉 字符"/>
    <w:link w:val="9"/>
    <w:qFormat/>
    <w:uiPriority w:val="0"/>
    <w:rPr>
      <w:kern w:val="2"/>
      <w:sz w:val="18"/>
      <w:szCs w:val="18"/>
    </w:rPr>
  </w:style>
  <w:style w:type="character" w:customStyle="1" w:styleId="17">
    <w:name w:val="页脚 字符"/>
    <w:link w:val="8"/>
    <w:qFormat/>
    <w:uiPriority w:val="99"/>
    <w:rPr>
      <w:kern w:val="2"/>
      <w:sz w:val="18"/>
      <w:szCs w:val="18"/>
    </w:rPr>
  </w:style>
  <w:style w:type="paragraph" w:customStyle="1" w:styleId="18">
    <w:name w:val="默认段落字体 Para Char Char Char Char Char Char Char Char Char Char Char Char Char Char Char1 Char Char Char Char"/>
    <w:basedOn w:val="4"/>
    <w:qFormat/>
    <w:uiPriority w:val="0"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  <w:szCs w:val="24"/>
    </w:rPr>
  </w:style>
  <w:style w:type="character" w:customStyle="1" w:styleId="19">
    <w:name w:val="批注文字 字符"/>
    <w:basedOn w:val="13"/>
    <w:link w:val="5"/>
    <w:semiHidden/>
    <w:qFormat/>
    <w:uiPriority w:val="0"/>
    <w:rPr>
      <w:kern w:val="2"/>
      <w:sz w:val="21"/>
    </w:rPr>
  </w:style>
  <w:style w:type="character" w:customStyle="1" w:styleId="20">
    <w:name w:val="批注主题 字符"/>
    <w:basedOn w:val="19"/>
    <w:link w:val="10"/>
    <w:semiHidden/>
    <w:qFormat/>
    <w:uiPriority w:val="0"/>
    <w:rPr>
      <w:b/>
      <w:bCs/>
      <w:kern w:val="2"/>
      <w:sz w:val="21"/>
    </w:rPr>
  </w:style>
  <w:style w:type="character" w:customStyle="1" w:styleId="21">
    <w:name w:val="批注框文本 字符"/>
    <w:basedOn w:val="13"/>
    <w:link w:val="7"/>
    <w:semiHidden/>
    <w:qFormat/>
    <w:uiPriority w:val="0"/>
    <w:rPr>
      <w:kern w:val="2"/>
      <w:sz w:val="18"/>
      <w:szCs w:val="18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character" w:customStyle="1" w:styleId="23">
    <w:name w:val="日期 字符"/>
    <w:basedOn w:val="13"/>
    <w:link w:val="6"/>
    <w:qFormat/>
    <w:uiPriority w:val="0"/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86398-481C-45E6-8755-19D87707985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2</Pages>
  <Words>1171</Words>
  <Characters>1548</Characters>
  <Lines>11</Lines>
  <Paragraphs>3</Paragraphs>
  <TotalTime>8</TotalTime>
  <ScaleCrop>false</ScaleCrop>
  <LinksUpToDate>false</LinksUpToDate>
  <CharactersWithSpaces>1587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2019-09-03T21:24:00Z</dcterms:created>
  <dc:creator>YlmF</dc:creator>
  <cp:lastModifiedBy>HP</cp:lastModifiedBy>
  <cp:lastPrinted>2021-03-19T07:19:00Z</cp:lastPrinted>
  <dcterms:modified xsi:type="dcterms:W3CDTF">2023-07-27T23:45:18Z</dcterms:modified>
  <dc:title>附件四：                        医疗设备参数对比表</dc:title>
  <cp:revision>145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96B7F7896D9D4331B2989A362CA62F50_13</vt:lpwstr>
  </property>
</Properties>
</file>