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4"/>
          <w:lang w:val="en-US" w:eastAsia="zh-CN"/>
        </w:rPr>
      </w:pPr>
      <w:r>
        <w:rPr>
          <w:rFonts w:hint="eastAsia"/>
          <w:b/>
          <w:bCs/>
          <w:sz w:val="28"/>
          <w:szCs w:val="24"/>
          <w:lang w:val="en-US" w:eastAsia="zh-CN"/>
        </w:rPr>
        <w:t>内镜转运车技术参数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主体采用全钢质结构，表面喷塑处理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设置二层转运托盘，托盘可单独进行消毒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四方向旋转脚轮，带脚轮所，坚固耐用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A83392"/>
    <w:multiLevelType w:val="singleLevel"/>
    <w:tmpl w:val="F1A833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1ABC7C08"/>
    <w:rsid w:val="1ABC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2023-07-27T00:38:00Z</dcterms:created>
  <dc:creator>HP</dc:creator>
  <cp:lastModifiedBy>HP</cp:lastModifiedBy>
  <cp:lastPrinted>2023-07-27T00:38:55Z</cp:lastPrinted>
  <dcterms:modified xsi:type="dcterms:W3CDTF">2023-07-27T00:43:29Z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3E402E86EF9C460783B3CD97D3715F5C_11</vt:lpwstr>
  </property>
</Properties>
</file>