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eastAsia="zh-CN"/>
        </w:rPr>
      </w:pPr>
      <w:r>
        <w:rPr>
          <w:rFonts w:hint="default"/>
          <w:b/>
          <w:bCs/>
          <w:sz w:val="30"/>
          <w:szCs w:val="30"/>
          <w:lang w:val="en-US" w:eastAsia="zh-CN"/>
        </w:rPr>
        <w:t>竟陵院区彩超</w:t>
      </w:r>
      <w:r>
        <w:rPr>
          <w:rFonts w:hint="eastAsia"/>
          <w:b/>
          <w:bCs/>
          <w:sz w:val="30"/>
          <w:szCs w:val="30"/>
          <w:lang w:val="en-US" w:eastAsia="zh-CN"/>
        </w:rPr>
        <w:t>维保服务技术要求</w:t>
      </w:r>
    </w:p>
    <w:p>
      <w:pPr>
        <w:rPr>
          <w:rFonts w:hint="default"/>
          <w:vertAlign w:val="baseline"/>
          <w:lang w:val="en-US" w:eastAsia="zh-CN"/>
        </w:rPr>
      </w:pPr>
      <w:r>
        <w:rPr>
          <w:rFonts w:hint="eastAsia"/>
          <w:b/>
          <w:bCs/>
          <w:lang w:val="en-US" w:eastAsia="zh-CN"/>
        </w:rPr>
        <w:t>一、</w:t>
      </w:r>
      <w:r>
        <w:rPr>
          <w:rFonts w:hint="eastAsia"/>
          <w:b/>
          <w:bCs/>
          <w:sz w:val="30"/>
          <w:szCs w:val="30"/>
          <w:lang w:val="en-US" w:eastAsia="zh-CN"/>
        </w:rPr>
        <w:t>设备明细</w:t>
      </w:r>
    </w:p>
    <w:tbl>
      <w:tblPr>
        <w:tblStyle w:val="4"/>
        <w:tblW w:w="9566" w:type="dxa"/>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81"/>
        <w:gridCol w:w="1169"/>
        <w:gridCol w:w="2041"/>
        <w:gridCol w:w="2144"/>
        <w:gridCol w:w="1207"/>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0" w:type="dxa"/>
          </w:tcPr>
          <w:p>
            <w:pPr>
              <w:jc w:val="center"/>
              <w:rPr>
                <w:rFonts w:hint="default"/>
                <w:vertAlign w:val="baseline"/>
                <w:lang w:val="en-US" w:eastAsia="zh-CN"/>
              </w:rPr>
            </w:pPr>
            <w:r>
              <w:rPr>
                <w:rFonts w:hint="default"/>
                <w:lang w:val="en-US" w:eastAsia="zh-CN"/>
              </w:rPr>
              <w:t>设备名称</w:t>
            </w:r>
          </w:p>
        </w:tc>
        <w:tc>
          <w:tcPr>
            <w:tcW w:w="1183" w:type="dxa"/>
          </w:tcPr>
          <w:p>
            <w:pPr>
              <w:jc w:val="center"/>
              <w:rPr>
                <w:rFonts w:hint="default"/>
                <w:vertAlign w:val="baseline"/>
                <w:lang w:val="en-US" w:eastAsia="zh-CN"/>
              </w:rPr>
            </w:pPr>
            <w:r>
              <w:rPr>
                <w:rFonts w:hint="default"/>
                <w:lang w:val="en-US" w:eastAsia="zh-CN"/>
              </w:rPr>
              <w:t>规格型号</w:t>
            </w:r>
          </w:p>
        </w:tc>
        <w:tc>
          <w:tcPr>
            <w:tcW w:w="2050" w:type="dxa"/>
          </w:tcPr>
          <w:p>
            <w:pPr>
              <w:jc w:val="center"/>
              <w:rPr>
                <w:rFonts w:hint="default"/>
                <w:vertAlign w:val="baseline"/>
                <w:lang w:val="en-US" w:eastAsia="zh-CN"/>
              </w:rPr>
            </w:pPr>
            <w:r>
              <w:rPr>
                <w:rFonts w:hint="default"/>
                <w:lang w:val="en-US" w:eastAsia="zh-CN"/>
              </w:rPr>
              <w:t>产品序列号</w:t>
            </w:r>
          </w:p>
        </w:tc>
        <w:tc>
          <w:tcPr>
            <w:tcW w:w="2267" w:type="dxa"/>
          </w:tcPr>
          <w:p>
            <w:pPr>
              <w:jc w:val="center"/>
              <w:rPr>
                <w:rFonts w:hint="default"/>
                <w:vertAlign w:val="baseline"/>
                <w:lang w:val="en-US" w:eastAsia="zh-CN"/>
              </w:rPr>
            </w:pPr>
            <w:r>
              <w:rPr>
                <w:rFonts w:hint="default"/>
                <w:lang w:val="en-US" w:eastAsia="zh-CN"/>
              </w:rPr>
              <w:t>产地厂名</w:t>
            </w:r>
          </w:p>
        </w:tc>
        <w:tc>
          <w:tcPr>
            <w:tcW w:w="1216" w:type="dxa"/>
          </w:tcPr>
          <w:p>
            <w:pPr>
              <w:jc w:val="center"/>
              <w:rPr>
                <w:rFonts w:hint="default"/>
                <w:vertAlign w:val="baseline"/>
                <w:lang w:val="en-US" w:eastAsia="zh-CN"/>
              </w:rPr>
            </w:pPr>
            <w:r>
              <w:rPr>
                <w:rFonts w:hint="default"/>
                <w:lang w:val="en-US" w:eastAsia="zh-CN"/>
              </w:rPr>
              <w:t>装购日期</w:t>
            </w:r>
          </w:p>
        </w:tc>
        <w:tc>
          <w:tcPr>
            <w:tcW w:w="850" w:type="dxa"/>
          </w:tcPr>
          <w:p>
            <w:pPr>
              <w:jc w:val="center"/>
              <w:rPr>
                <w:rFonts w:hint="default"/>
                <w:vertAlign w:val="baseline"/>
                <w:lang w:val="en-US" w:eastAsia="zh-CN"/>
              </w:rPr>
            </w:pPr>
            <w:r>
              <w:rPr>
                <w:rFonts w:hint="default"/>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0" w:type="dxa"/>
          </w:tcPr>
          <w:p>
            <w:pPr>
              <w:jc w:val="center"/>
              <w:rPr>
                <w:rFonts w:hint="default"/>
                <w:vertAlign w:val="baseline"/>
                <w:lang w:val="en-US" w:eastAsia="zh-CN"/>
              </w:rPr>
            </w:pPr>
            <w:r>
              <w:rPr>
                <w:rFonts w:hint="default"/>
                <w:lang w:val="en-US" w:eastAsia="zh-CN"/>
              </w:rPr>
              <w:t>便携式彩色多普勒超声系统</w:t>
            </w:r>
          </w:p>
        </w:tc>
        <w:tc>
          <w:tcPr>
            <w:tcW w:w="1183" w:type="dxa"/>
          </w:tcPr>
          <w:p>
            <w:pPr>
              <w:jc w:val="center"/>
              <w:rPr>
                <w:rFonts w:hint="default"/>
                <w:lang w:val="en-US" w:eastAsia="zh-CN"/>
              </w:rPr>
            </w:pPr>
          </w:p>
          <w:p>
            <w:pPr>
              <w:jc w:val="center"/>
              <w:rPr>
                <w:rFonts w:hint="default"/>
                <w:vertAlign w:val="baseline"/>
                <w:lang w:val="en-US" w:eastAsia="zh-CN"/>
              </w:rPr>
            </w:pPr>
            <w:r>
              <w:rPr>
                <w:rFonts w:hint="default"/>
                <w:lang w:val="en-US" w:eastAsia="zh-CN"/>
              </w:rPr>
              <w:t>M9</w:t>
            </w:r>
          </w:p>
        </w:tc>
        <w:tc>
          <w:tcPr>
            <w:tcW w:w="2050" w:type="dxa"/>
          </w:tcPr>
          <w:p>
            <w:pPr>
              <w:jc w:val="center"/>
              <w:rPr>
                <w:rFonts w:hint="default"/>
                <w:lang w:val="en-US" w:eastAsia="zh-CN"/>
              </w:rPr>
            </w:pPr>
          </w:p>
          <w:p>
            <w:pPr>
              <w:jc w:val="center"/>
              <w:rPr>
                <w:rFonts w:hint="default"/>
                <w:vertAlign w:val="baseline"/>
                <w:lang w:val="en-US" w:eastAsia="zh-CN"/>
              </w:rPr>
            </w:pPr>
            <w:r>
              <w:rPr>
                <w:rFonts w:hint="default"/>
                <w:lang w:val="en-US" w:eastAsia="zh-CN"/>
              </w:rPr>
              <w:t>CC1-02001937</w:t>
            </w:r>
          </w:p>
        </w:tc>
        <w:tc>
          <w:tcPr>
            <w:tcW w:w="2267" w:type="dxa"/>
          </w:tcPr>
          <w:p>
            <w:pPr>
              <w:jc w:val="center"/>
              <w:rPr>
                <w:rFonts w:hint="default"/>
                <w:vertAlign w:val="baseline"/>
                <w:lang w:val="en-US" w:eastAsia="zh-CN"/>
              </w:rPr>
            </w:pPr>
            <w:r>
              <w:rPr>
                <w:rFonts w:hint="default"/>
                <w:lang w:val="en-US" w:eastAsia="zh-CN"/>
              </w:rPr>
              <w:t>深圳迈瑞</w:t>
            </w:r>
          </w:p>
        </w:tc>
        <w:tc>
          <w:tcPr>
            <w:tcW w:w="1216" w:type="dxa"/>
          </w:tcPr>
          <w:p>
            <w:pPr>
              <w:jc w:val="center"/>
              <w:rPr>
                <w:rFonts w:hint="default"/>
                <w:vertAlign w:val="baseline"/>
                <w:lang w:val="en-US" w:eastAsia="zh-CN"/>
              </w:rPr>
            </w:pPr>
            <w:r>
              <w:rPr>
                <w:rFonts w:hint="default"/>
                <w:lang w:val="en-US" w:eastAsia="zh-CN"/>
              </w:rPr>
              <w:t>2020-3-4</w:t>
            </w:r>
          </w:p>
        </w:tc>
        <w:tc>
          <w:tcPr>
            <w:tcW w:w="850"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0" w:type="dxa"/>
          </w:tcPr>
          <w:p>
            <w:pPr>
              <w:jc w:val="center"/>
              <w:rPr>
                <w:rFonts w:hint="default"/>
                <w:vertAlign w:val="baseline"/>
                <w:lang w:val="en-US" w:eastAsia="zh-CN"/>
              </w:rPr>
            </w:pPr>
            <w:r>
              <w:rPr>
                <w:rFonts w:hint="default"/>
                <w:lang w:val="en-US" w:eastAsia="zh-CN"/>
              </w:rPr>
              <w:t>彩色多普勒超声诊断系统</w:t>
            </w:r>
          </w:p>
        </w:tc>
        <w:tc>
          <w:tcPr>
            <w:tcW w:w="1183" w:type="dxa"/>
          </w:tcPr>
          <w:p>
            <w:pPr>
              <w:jc w:val="center"/>
              <w:rPr>
                <w:rFonts w:hint="default"/>
                <w:lang w:val="en-US" w:eastAsia="zh-CN"/>
              </w:rPr>
            </w:pPr>
          </w:p>
          <w:p>
            <w:pPr>
              <w:jc w:val="center"/>
              <w:rPr>
                <w:rFonts w:hint="default"/>
                <w:vertAlign w:val="baseline"/>
                <w:lang w:val="en-US" w:eastAsia="zh-CN"/>
              </w:rPr>
            </w:pPr>
            <w:r>
              <w:rPr>
                <w:rFonts w:hint="default"/>
                <w:lang w:val="en-US" w:eastAsia="zh-CN"/>
              </w:rPr>
              <w:t>HD11XE</w:t>
            </w:r>
          </w:p>
        </w:tc>
        <w:tc>
          <w:tcPr>
            <w:tcW w:w="2050" w:type="dxa"/>
          </w:tcPr>
          <w:p>
            <w:pPr>
              <w:jc w:val="center"/>
              <w:rPr>
                <w:rFonts w:hint="default"/>
                <w:lang w:val="en-US" w:eastAsia="zh-CN"/>
              </w:rPr>
            </w:pPr>
          </w:p>
          <w:p>
            <w:pPr>
              <w:jc w:val="center"/>
              <w:rPr>
                <w:rFonts w:hint="default"/>
                <w:vertAlign w:val="baseline"/>
                <w:lang w:val="en-US" w:eastAsia="zh-CN"/>
              </w:rPr>
            </w:pPr>
            <w:r>
              <w:rPr>
                <w:rFonts w:hint="default"/>
                <w:lang w:val="en-US" w:eastAsia="zh-CN"/>
              </w:rPr>
              <w:t>US81370499</w:t>
            </w:r>
          </w:p>
        </w:tc>
        <w:tc>
          <w:tcPr>
            <w:tcW w:w="2267" w:type="dxa"/>
          </w:tcPr>
          <w:p>
            <w:pPr>
              <w:jc w:val="center"/>
              <w:rPr>
                <w:rFonts w:hint="default"/>
                <w:vertAlign w:val="baseline"/>
                <w:lang w:val="en-US" w:eastAsia="zh-CN"/>
              </w:rPr>
            </w:pPr>
            <w:r>
              <w:rPr>
                <w:rFonts w:hint="default"/>
                <w:lang w:val="en-US" w:eastAsia="zh-CN"/>
              </w:rPr>
              <w:t>飞利浦美国</w:t>
            </w:r>
          </w:p>
        </w:tc>
        <w:tc>
          <w:tcPr>
            <w:tcW w:w="1216" w:type="dxa"/>
          </w:tcPr>
          <w:p>
            <w:pPr>
              <w:jc w:val="center"/>
              <w:rPr>
                <w:rFonts w:hint="default"/>
                <w:vertAlign w:val="baseline"/>
                <w:lang w:val="en-US" w:eastAsia="zh-CN"/>
              </w:rPr>
            </w:pPr>
            <w:r>
              <w:rPr>
                <w:rFonts w:hint="default"/>
                <w:lang w:val="en-US" w:eastAsia="zh-CN"/>
              </w:rPr>
              <w:t>2014</w:t>
            </w:r>
            <w:r>
              <w:rPr>
                <w:rFonts w:hint="eastAsia"/>
                <w:lang w:val="en-US" w:eastAsia="zh-CN"/>
              </w:rPr>
              <w:t>-</w:t>
            </w:r>
            <w:r>
              <w:rPr>
                <w:rFonts w:hint="default"/>
                <w:lang w:val="en-US" w:eastAsia="zh-CN"/>
              </w:rPr>
              <w:t>2</w:t>
            </w:r>
            <w:r>
              <w:rPr>
                <w:rFonts w:hint="eastAsia"/>
                <w:lang w:val="en-US" w:eastAsia="zh-CN"/>
              </w:rPr>
              <w:t>-</w:t>
            </w:r>
            <w:r>
              <w:rPr>
                <w:rFonts w:hint="default"/>
                <w:lang w:val="en-US" w:eastAsia="zh-CN"/>
              </w:rPr>
              <w:t>28</w:t>
            </w:r>
          </w:p>
        </w:tc>
        <w:tc>
          <w:tcPr>
            <w:tcW w:w="850"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0" w:type="dxa"/>
          </w:tcPr>
          <w:p>
            <w:pPr>
              <w:jc w:val="center"/>
              <w:rPr>
                <w:rFonts w:hint="default"/>
                <w:vertAlign w:val="baseline"/>
                <w:lang w:val="en-US" w:eastAsia="zh-CN"/>
              </w:rPr>
            </w:pPr>
            <w:r>
              <w:rPr>
                <w:rFonts w:hint="default"/>
                <w:lang w:val="en-US" w:eastAsia="zh-CN"/>
              </w:rPr>
              <w:t>超声诊断仪</w:t>
            </w:r>
          </w:p>
        </w:tc>
        <w:tc>
          <w:tcPr>
            <w:tcW w:w="1183" w:type="dxa"/>
          </w:tcPr>
          <w:p>
            <w:pPr>
              <w:jc w:val="center"/>
              <w:rPr>
                <w:rFonts w:hint="default"/>
                <w:vertAlign w:val="baseline"/>
                <w:lang w:val="en-US" w:eastAsia="zh-CN"/>
              </w:rPr>
            </w:pPr>
            <w:r>
              <w:rPr>
                <w:rFonts w:hint="default"/>
                <w:lang w:val="en-US" w:eastAsia="zh-CN"/>
              </w:rPr>
              <w:t>WS80A</w:t>
            </w:r>
          </w:p>
        </w:tc>
        <w:tc>
          <w:tcPr>
            <w:tcW w:w="2050" w:type="dxa"/>
          </w:tcPr>
          <w:p>
            <w:pPr>
              <w:jc w:val="center"/>
              <w:rPr>
                <w:rFonts w:hint="default"/>
                <w:vertAlign w:val="baseline"/>
                <w:lang w:val="en-US" w:eastAsia="zh-CN"/>
              </w:rPr>
            </w:pPr>
            <w:r>
              <w:rPr>
                <w:rFonts w:hint="default"/>
                <w:lang w:val="en-US" w:eastAsia="zh-CN"/>
              </w:rPr>
              <w:t>S1KEM3HN700022Y</w:t>
            </w:r>
          </w:p>
        </w:tc>
        <w:tc>
          <w:tcPr>
            <w:tcW w:w="2267" w:type="dxa"/>
          </w:tcPr>
          <w:p>
            <w:pPr>
              <w:jc w:val="center"/>
              <w:rPr>
                <w:rFonts w:hint="default"/>
                <w:vertAlign w:val="baseline"/>
                <w:lang w:val="en-US" w:eastAsia="zh-CN"/>
              </w:rPr>
            </w:pPr>
            <w:r>
              <w:rPr>
                <w:rFonts w:hint="default"/>
                <w:lang w:val="en-US" w:eastAsia="zh-CN"/>
              </w:rPr>
              <w:t>三星麦迪逊</w:t>
            </w:r>
          </w:p>
        </w:tc>
        <w:tc>
          <w:tcPr>
            <w:tcW w:w="1216" w:type="dxa"/>
          </w:tcPr>
          <w:p>
            <w:pPr>
              <w:jc w:val="center"/>
              <w:rPr>
                <w:rFonts w:hint="default"/>
                <w:vertAlign w:val="baseline"/>
                <w:lang w:val="en-US" w:eastAsia="zh-CN"/>
              </w:rPr>
            </w:pPr>
            <w:r>
              <w:rPr>
                <w:rFonts w:hint="default"/>
                <w:lang w:val="en-US" w:eastAsia="zh-CN"/>
              </w:rPr>
              <w:t>2020-11-4</w:t>
            </w:r>
          </w:p>
        </w:tc>
        <w:tc>
          <w:tcPr>
            <w:tcW w:w="850" w:type="dxa"/>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0" w:type="dxa"/>
          </w:tcPr>
          <w:p>
            <w:pPr>
              <w:jc w:val="center"/>
              <w:rPr>
                <w:rFonts w:hint="default"/>
                <w:lang w:val="en-US" w:eastAsia="zh-CN"/>
              </w:rPr>
            </w:pPr>
          </w:p>
          <w:p>
            <w:pPr>
              <w:jc w:val="center"/>
              <w:rPr>
                <w:rFonts w:hint="default"/>
                <w:lang w:val="en-US" w:eastAsia="zh-CN"/>
              </w:rPr>
            </w:pPr>
            <w:r>
              <w:rPr>
                <w:rFonts w:hint="default"/>
                <w:lang w:val="en-US" w:eastAsia="zh-CN"/>
              </w:rPr>
              <w:t>彩色超声诊断系统</w:t>
            </w:r>
          </w:p>
        </w:tc>
        <w:tc>
          <w:tcPr>
            <w:tcW w:w="1183" w:type="dxa"/>
          </w:tcPr>
          <w:p>
            <w:pPr>
              <w:jc w:val="center"/>
              <w:rPr>
                <w:rFonts w:hint="default"/>
                <w:lang w:val="en-US" w:eastAsia="zh-CN"/>
              </w:rPr>
            </w:pPr>
          </w:p>
          <w:p>
            <w:pPr>
              <w:jc w:val="center"/>
              <w:rPr>
                <w:rFonts w:hint="default"/>
                <w:lang w:val="en-US" w:eastAsia="zh-CN"/>
              </w:rPr>
            </w:pPr>
            <w:r>
              <w:rPr>
                <w:rFonts w:hint="default"/>
                <w:lang w:val="en-US" w:eastAsia="zh-CN"/>
              </w:rPr>
              <w:t>Affiniti30</w:t>
            </w:r>
          </w:p>
        </w:tc>
        <w:tc>
          <w:tcPr>
            <w:tcW w:w="2050" w:type="dxa"/>
          </w:tcPr>
          <w:p>
            <w:pPr>
              <w:jc w:val="center"/>
              <w:rPr>
                <w:rFonts w:hint="default"/>
                <w:lang w:val="en-US" w:eastAsia="zh-CN"/>
              </w:rPr>
            </w:pPr>
          </w:p>
          <w:p>
            <w:pPr>
              <w:jc w:val="center"/>
              <w:rPr>
                <w:rFonts w:hint="default"/>
                <w:vertAlign w:val="baseline"/>
                <w:lang w:val="en-US" w:eastAsia="zh-CN"/>
              </w:rPr>
            </w:pPr>
            <w:r>
              <w:rPr>
                <w:rFonts w:hint="default"/>
                <w:lang w:val="en-US" w:eastAsia="zh-CN"/>
              </w:rPr>
              <w:t>SZ821E1626</w:t>
            </w:r>
          </w:p>
        </w:tc>
        <w:tc>
          <w:tcPr>
            <w:tcW w:w="2267" w:type="dxa"/>
          </w:tcPr>
          <w:p>
            <w:pPr>
              <w:jc w:val="center"/>
              <w:rPr>
                <w:rFonts w:hint="default"/>
                <w:vertAlign w:val="baseline"/>
                <w:lang w:val="en-US" w:eastAsia="zh-CN"/>
              </w:rPr>
            </w:pPr>
            <w:r>
              <w:rPr>
                <w:rFonts w:hint="default"/>
                <w:vertAlign w:val="baseline"/>
                <w:lang w:val="en-US" w:eastAsia="zh-CN"/>
              </w:rPr>
              <w:t>飞利浦医疗</w:t>
            </w:r>
          </w:p>
          <w:p>
            <w:pPr>
              <w:jc w:val="center"/>
              <w:rPr>
                <w:rFonts w:hint="default"/>
                <w:vertAlign w:val="baseline"/>
                <w:lang w:val="en-US" w:eastAsia="zh-CN"/>
              </w:rPr>
            </w:pPr>
            <w:r>
              <w:rPr>
                <w:rFonts w:hint="default"/>
                <w:vertAlign w:val="baseline"/>
                <w:lang w:val="en-US" w:eastAsia="zh-CN"/>
              </w:rPr>
              <w:t>（江苏）有限公司</w:t>
            </w:r>
          </w:p>
        </w:tc>
        <w:tc>
          <w:tcPr>
            <w:tcW w:w="1216" w:type="dxa"/>
          </w:tcPr>
          <w:p>
            <w:pPr>
              <w:jc w:val="center"/>
              <w:rPr>
                <w:rFonts w:hint="default"/>
                <w:vertAlign w:val="baseline"/>
                <w:lang w:val="en-US" w:eastAsia="zh-CN"/>
              </w:rPr>
            </w:pPr>
            <w:r>
              <w:rPr>
                <w:rFonts w:hint="default"/>
                <w:vertAlign w:val="baseline"/>
                <w:lang w:val="en-US" w:eastAsia="zh-CN"/>
              </w:rPr>
              <w:t>2022-6-15</w:t>
            </w:r>
          </w:p>
        </w:tc>
        <w:tc>
          <w:tcPr>
            <w:tcW w:w="850" w:type="dxa"/>
          </w:tcPr>
          <w:p>
            <w:pPr>
              <w:jc w:val="center"/>
              <w:rPr>
                <w:rFonts w:hint="default"/>
                <w:vertAlign w:val="baseline"/>
                <w:lang w:val="en-US" w:eastAsia="zh-CN"/>
              </w:rPr>
            </w:pPr>
            <w:r>
              <w:rPr>
                <w:rFonts w:hint="default"/>
                <w:vertAlign w:val="baseline"/>
                <w:lang w:val="en-US" w:eastAsia="zh-CN"/>
              </w:rPr>
              <w:t>售后质保2024/6/15止</w:t>
            </w:r>
          </w:p>
        </w:tc>
      </w:tr>
    </w:tbl>
    <w:p>
      <w:pPr>
        <w:rPr>
          <w:rFonts w:hint="default"/>
          <w:lang w:val="en-US" w:eastAsia="zh-CN"/>
        </w:rPr>
      </w:pPr>
    </w:p>
    <w:p>
      <w:pPr>
        <w:jc w:val="left"/>
        <w:rPr>
          <w:rFonts w:hint="eastAsia"/>
          <w:b w:val="0"/>
          <w:bCs w:val="0"/>
          <w:sz w:val="28"/>
          <w:szCs w:val="28"/>
          <w:lang w:val="en-US" w:eastAsia="zh-CN"/>
        </w:rPr>
      </w:pPr>
      <w:r>
        <w:rPr>
          <w:rFonts w:hint="eastAsia"/>
          <w:b/>
          <w:bCs/>
          <w:sz w:val="28"/>
          <w:szCs w:val="28"/>
          <w:lang w:val="en-US" w:eastAsia="zh-CN"/>
        </w:rPr>
        <w:t>二、维保服务内容：</w:t>
      </w:r>
      <w:r>
        <w:rPr>
          <w:rFonts w:hint="eastAsia"/>
          <w:b w:val="0"/>
          <w:bCs w:val="0"/>
          <w:sz w:val="28"/>
          <w:szCs w:val="28"/>
          <w:lang w:val="en-US" w:eastAsia="zh-CN"/>
        </w:rPr>
        <w:t xml:space="preserve"> </w:t>
      </w:r>
    </w:p>
    <w:p>
      <w:pPr>
        <w:bidi w:val="0"/>
        <w:rPr>
          <w:rFonts w:hint="eastAsia"/>
          <w:b w:val="0"/>
          <w:bCs w:val="0"/>
          <w:sz w:val="28"/>
          <w:szCs w:val="28"/>
        </w:rPr>
      </w:pPr>
      <w:r>
        <w:rPr>
          <w:rFonts w:hint="eastAsia"/>
          <w:b w:val="0"/>
          <w:bCs w:val="0"/>
          <w:sz w:val="28"/>
          <w:szCs w:val="28"/>
          <w:lang w:val="en-US" w:eastAsia="zh-CN"/>
        </w:rPr>
        <w:t>一</w:t>
      </w:r>
      <w:r>
        <w:rPr>
          <w:rFonts w:hint="eastAsia"/>
          <w:b w:val="0"/>
          <w:bCs w:val="0"/>
          <w:sz w:val="28"/>
          <w:szCs w:val="28"/>
        </w:rPr>
        <w:t>、资格要求：</w:t>
      </w:r>
    </w:p>
    <w:p>
      <w:pPr>
        <w:spacing w:line="360" w:lineRule="auto"/>
        <w:ind w:firstLine="560" w:firstLineChars="200"/>
        <w:rPr>
          <w:rFonts w:hint="eastAsia" w:ascii="仿宋" w:hAnsi="仿宋" w:eastAsia="仿宋" w:cs="仿宋"/>
          <w:sz w:val="28"/>
          <w:szCs w:val="28"/>
        </w:rPr>
      </w:pPr>
      <w:bookmarkStart w:id="0" w:name="OLE_LINK70"/>
      <w:bookmarkStart w:id="1" w:name="OLE_LINK65"/>
      <w:bookmarkStart w:id="2" w:name="OLE_LINK66"/>
      <w:r>
        <w:rPr>
          <w:rFonts w:hint="eastAsia" w:ascii="仿宋" w:hAnsi="仿宋" w:eastAsia="仿宋" w:cs="仿宋"/>
          <w:sz w:val="28"/>
          <w:szCs w:val="28"/>
        </w:rPr>
        <w:t>1、投标人应当是设备的原制造厂商或原制造厂商授权的单位或具备相关设备的维修能力且已承接过同型号设备保修服务的单位（提供证明文件和维保合同）；具有中华人民共和国境内注册的独立法人资格</w:t>
      </w:r>
      <w:bookmarkEnd w:id="0"/>
      <w:r>
        <w:rPr>
          <w:rFonts w:hint="eastAsia" w:ascii="仿宋" w:hAnsi="仿宋" w:eastAsia="仿宋" w:cs="仿宋"/>
          <w:sz w:val="28"/>
          <w:szCs w:val="28"/>
        </w:rPr>
        <w:t>，具备履行合同所必需的经营范围、专用设备和专业技术能力</w:t>
      </w:r>
      <w:bookmarkEnd w:id="1"/>
      <w:bookmarkEnd w:id="2"/>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2、投标人提供合法、有效的营业执照、医疗器械经营许可证、法人授权书及相关人员社保证明资料。</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3、投标人能独立承担民事责任并承诺在设备维保期内不进行转包。</w:t>
      </w:r>
    </w:p>
    <w:p>
      <w:pPr>
        <w:pStyle w:val="2"/>
        <w:spacing w:line="400" w:lineRule="exact"/>
        <w:rPr>
          <w:rFonts w:ascii="仿宋" w:hAnsi="仿宋" w:eastAsia="仿宋" w:cs="仿宋"/>
          <w:kern w:val="2"/>
          <w:sz w:val="28"/>
          <w:szCs w:val="28"/>
          <w:lang w:bidi="ar-SA"/>
        </w:rPr>
      </w:pPr>
      <w:bookmarkStart w:id="3" w:name="_Toc360726019"/>
      <w:r>
        <w:rPr>
          <w:rFonts w:hint="eastAsia" w:ascii="仿宋" w:hAnsi="仿宋" w:eastAsia="仿宋" w:cs="仿宋"/>
          <w:kern w:val="2"/>
          <w:sz w:val="28"/>
          <w:szCs w:val="28"/>
          <w:lang w:val="en-US" w:eastAsia="zh-CN" w:bidi="ar-SA"/>
        </w:rPr>
        <w:t>二</w:t>
      </w:r>
      <w:r>
        <w:rPr>
          <w:rFonts w:hint="eastAsia" w:ascii="仿宋" w:hAnsi="仿宋" w:eastAsia="仿宋" w:cs="仿宋"/>
          <w:kern w:val="2"/>
          <w:sz w:val="28"/>
          <w:szCs w:val="28"/>
          <w:lang w:bidi="ar-SA"/>
        </w:rPr>
        <w:t>、服务内容及具体要求</w:t>
      </w:r>
    </w:p>
    <w:bookmarkEnd w:id="3"/>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1、</w:t>
      </w:r>
      <w:r>
        <w:rPr>
          <w:rFonts w:hint="eastAsia" w:ascii="仿宋" w:hAnsi="仿宋" w:eastAsia="仿宋" w:cs="仿宋"/>
          <w:color w:val="000000"/>
          <w:sz w:val="28"/>
          <w:szCs w:val="28"/>
        </w:rPr>
        <w:t>免费将医院的设备修复至正常状态，需要解决的故障等。</w:t>
      </w:r>
    </w:p>
    <w:p>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2、投标人保证设备年开机率≥95%（按一年365天，每天24小时计算）。若设备开机率低于95%，停机时间每超过一天顺延七天维保期。并承担由此给采购方造成的损失。</w:t>
      </w:r>
    </w:p>
    <w:p>
      <w:pPr>
        <w:widowControl/>
        <w:ind w:left="270" w:firstLine="280" w:firstLineChars="100"/>
        <w:rPr>
          <w:rFonts w:hint="eastAsia" w:ascii="仿宋" w:hAnsi="仿宋" w:eastAsia="仿宋" w:cs="仿宋"/>
          <w:sz w:val="28"/>
          <w:szCs w:val="28"/>
        </w:rPr>
      </w:pPr>
      <w:r>
        <w:rPr>
          <w:rFonts w:hint="eastAsia" w:ascii="仿宋" w:hAnsi="仿宋" w:eastAsia="仿宋" w:cs="仿宋"/>
          <w:sz w:val="28"/>
          <w:szCs w:val="28"/>
        </w:rPr>
        <w:t>3、投标人提供365天×24小时的技术服务及不限次数的人工上门维修。维保服务期内维保设备维护、维修所发生的所有费用（更换零部件费，人工费和出差费等）均由投标人方承担。电话响应时间：1小时，收到现场服务请求后12小时内到达维保设备现场（不可抗力除外）。安全检查和维护保养提前预约服务时间，尽量不影响日常诊疗工作。</w:t>
      </w:r>
    </w:p>
    <w:p>
      <w:pPr>
        <w:widowControl/>
        <w:ind w:left="270" w:firstLine="280" w:firstLineChars="100"/>
        <w:rPr>
          <w:rFonts w:hint="eastAsia" w:ascii="仿宋" w:hAnsi="仿宋" w:eastAsia="仿宋" w:cs="仿宋"/>
          <w:sz w:val="28"/>
          <w:szCs w:val="28"/>
        </w:rPr>
      </w:pPr>
      <w:r>
        <w:rPr>
          <w:rFonts w:hint="eastAsia" w:ascii="仿宋" w:hAnsi="仿宋" w:eastAsia="仿宋" w:cs="仿宋"/>
          <w:sz w:val="28"/>
          <w:szCs w:val="28"/>
        </w:rPr>
        <w:t>4、投标人每年提供2次安全检查和预防性维护保养，安全检查和保养包括但不限于以下内容：机械安全检查、影像质量检查，设备除尘保养，运行状态检查、电气安全检查、性能测试及校准，以及非紧急性质的预防性维护，提供保养检测报告，保证超声设备处于最佳运行状态。投标人保证维保设备的全部性能监测指标，通过计量测试检定并取得计量检定合格证书。</w:t>
      </w:r>
    </w:p>
    <w:p>
      <w:pPr>
        <w:pStyle w:val="9"/>
        <w:spacing w:line="360" w:lineRule="auto"/>
        <w:ind w:left="0" w:firstLine="560" w:firstLineChars="200"/>
        <w:rPr>
          <w:rFonts w:hint="eastAsia" w:ascii="仿宋" w:hAnsi="仿宋" w:eastAsia="仿宋" w:cs="仿宋"/>
          <w:sz w:val="28"/>
          <w:szCs w:val="28"/>
        </w:rPr>
      </w:pPr>
      <w:r>
        <w:rPr>
          <w:rFonts w:hint="eastAsia" w:ascii="仿宋" w:hAnsi="仿宋" w:eastAsia="仿宋" w:cs="仿宋"/>
          <w:sz w:val="28"/>
          <w:szCs w:val="28"/>
        </w:rPr>
        <w:t>5、投标人提供400或800服务热线电话供采购人与投标人的技术专家进行交流,保证及时获得在线技术支持和维修诊断。</w:t>
      </w:r>
    </w:p>
    <w:p>
      <w:pPr>
        <w:widowControl/>
        <w:ind w:left="270" w:firstLine="280" w:firstLineChars="100"/>
        <w:rPr>
          <w:rFonts w:hint="eastAsia" w:ascii="仿宋" w:hAnsi="仿宋" w:eastAsia="仿宋" w:cs="仿宋"/>
          <w:sz w:val="28"/>
          <w:szCs w:val="28"/>
        </w:rPr>
      </w:pPr>
      <w:r>
        <w:rPr>
          <w:rFonts w:hint="eastAsia" w:ascii="仿宋" w:hAnsi="仿宋" w:eastAsia="仿宋" w:cs="仿宋"/>
          <w:sz w:val="28"/>
          <w:szCs w:val="28"/>
        </w:rPr>
        <w:t>6、投标人在国内设有配件品仓库及维保设备的全套配件，</w:t>
      </w:r>
    </w:p>
    <w:p>
      <w:pPr>
        <w:widowControl/>
        <w:rPr>
          <w:rFonts w:hint="eastAsia" w:ascii="仿宋" w:hAnsi="仿宋" w:eastAsia="仿宋" w:cs="仿宋"/>
          <w:sz w:val="28"/>
          <w:szCs w:val="28"/>
        </w:rPr>
      </w:pPr>
      <w:r>
        <w:rPr>
          <w:rFonts w:hint="eastAsia" w:ascii="仿宋" w:hAnsi="仿宋" w:eastAsia="仿宋" w:cs="仿宋"/>
          <w:sz w:val="28"/>
          <w:szCs w:val="28"/>
        </w:rPr>
        <w:t>当设备出现故障时，保证配件12小时内抵达用户现场（提供相关配件库证明文件）。</w:t>
      </w:r>
    </w:p>
    <w:p>
      <w:pPr>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投标人提供维保服务时，按要求在采购人的设备管理部门进行备案，完成相关服务后，须在采购人的设备科、使用科室保留原始工作记录（维修工单及保养清单），并经双方签字确认，每年须出具年度维保服务报告。</w:t>
      </w:r>
    </w:p>
    <w:p>
      <w:pPr>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8、投标人3日内不能修复超声探头故障，必须在24小时内提供备用探头；3日内无法修复设备故障，投标人提供备用彩超供招标人应急使用。</w:t>
      </w:r>
    </w:p>
    <w:p>
      <w:pPr>
        <w:pStyle w:val="6"/>
        <w:ind w:left="0" w:leftChars="0" w:firstLine="6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9</w:t>
      </w:r>
      <w:r>
        <w:rPr>
          <w:rFonts w:hint="eastAsia" w:ascii="仿宋" w:hAnsi="仿宋" w:eastAsia="仿宋" w:cs="仿宋"/>
          <w:kern w:val="2"/>
          <w:sz w:val="28"/>
          <w:szCs w:val="28"/>
        </w:rPr>
        <w:t>、</w:t>
      </w:r>
      <w:r>
        <w:rPr>
          <w:rFonts w:hint="eastAsia" w:ascii="仿宋" w:hAnsi="仿宋" w:eastAsia="仿宋" w:cs="仿宋"/>
          <w:sz w:val="28"/>
          <w:szCs w:val="28"/>
        </w:rPr>
        <w:t>提供设备管理方案，能够实现远程报修及培训（远程报修、远程培训、电子签单等），提供软件著作权证明。</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维保期内，采购方每半年对服务提供方提供的服务质量进行考核（包括：开机率、响应时间、工作排除及维保服务条款履行情况等）。若考核不合格，采购方有权解除合同并要求服务提供方赔偿由于设备停机造成的直接和间接损失。</w:t>
      </w:r>
    </w:p>
    <w:p>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、维保服务具体时间以合同约定为准</w:t>
      </w:r>
      <w:r>
        <w:rPr>
          <w:rFonts w:hint="eastAsia" w:ascii="仿宋" w:hAnsi="仿宋" w:eastAsia="仿宋" w:cs="仿宋"/>
          <w:sz w:val="28"/>
          <w:szCs w:val="28"/>
          <w:lang w:eastAsia="zh-CN"/>
        </w:rPr>
        <w:t>。</w:t>
      </w:r>
    </w:p>
    <w:p>
      <w:pPr>
        <w:rPr>
          <w:rFonts w:hint="default"/>
          <w:lang w:val="en-US" w:eastAsia="zh-CN"/>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AyNWNhNDkxZDkxMjI4Mjc1OGQ2MGZkYWY3MjkifQ=="/>
  </w:docVars>
  <w:rsids>
    <w:rsidRoot w:val="21B7012E"/>
    <w:rsid w:val="21B7012E"/>
    <w:rsid w:val="73BB4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lang w:bidi="mn-Mong-CN"/>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BodyText1I2"/>
    <w:basedOn w:val="7"/>
    <w:next w:val="8"/>
    <w:qFormat/>
    <w:uiPriority w:val="0"/>
    <w:pPr>
      <w:spacing w:after="120"/>
      <w:ind w:left="420" w:leftChars="200" w:firstLine="420" w:firstLineChars="200"/>
      <w:jc w:val="both"/>
      <w:textAlignment w:val="baseline"/>
    </w:pPr>
  </w:style>
  <w:style w:type="paragraph" w:customStyle="1" w:styleId="7">
    <w:name w:val="BodyTextIndent"/>
    <w:basedOn w:val="1"/>
    <w:qFormat/>
    <w:uiPriority w:val="0"/>
    <w:pPr>
      <w:spacing w:after="120"/>
      <w:ind w:left="420" w:leftChars="200"/>
      <w:jc w:val="both"/>
      <w:textAlignment w:val="baseline"/>
    </w:pPr>
    <w:rPr>
      <w:kern w:val="0"/>
      <w:sz w:val="20"/>
      <w:szCs w:val="24"/>
      <w:lang w:val="en-US" w:eastAsia="zh-CN" w:bidi="ar-SA"/>
    </w:rPr>
  </w:style>
  <w:style w:type="paragraph" w:customStyle="1" w:styleId="8">
    <w:name w:val="NormalIndent"/>
    <w:basedOn w:val="1"/>
    <w:qFormat/>
    <w:uiPriority w:val="0"/>
    <w:pPr>
      <w:widowControl/>
      <w:ind w:firstLine="420"/>
      <w:jc w:val="left"/>
      <w:textAlignment w:val="baseline"/>
    </w:pPr>
    <w:rPr>
      <w:kern w:val="0"/>
      <w:sz w:val="20"/>
      <w:szCs w:val="20"/>
      <w:lang w:val="en-US" w:eastAsia="zh-CN" w:bidi="ar-SA"/>
    </w:rPr>
  </w:style>
  <w:style w:type="paragraph" w:customStyle="1"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1204</Words>
  <Characters>1324</Characters>
  <Lines>0</Lines>
  <Paragraphs>0</Paragraphs>
  <TotalTime>6</TotalTime>
  <ScaleCrop>false</ScaleCrop>
  <LinksUpToDate>false</LinksUpToDate>
  <CharactersWithSpaces>1429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2023-08-28T02:41:00Z</dcterms:created>
  <dc:creator>HP</dc:creator>
  <cp:lastModifiedBy>HP</cp:lastModifiedBy>
  <cp:lastPrinted>2023-08-28T23:58:15Z</cp:lastPrinted>
  <dcterms:modified xsi:type="dcterms:W3CDTF">2023-08-28T23:58:25Z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FE29ECAFF8E6429D823E7A34496A78A9_13</vt:lpwstr>
  </property>
</Properties>
</file>