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4" w:name="_GoBack"/>
      <w:bookmarkEnd w:id="4"/>
    </w:p>
    <w:p/>
    <w:p>
      <w:pPr>
        <w:pStyle w:val="2"/>
      </w:pPr>
    </w:p>
    <w:p>
      <w:pPr>
        <w:numPr>
          <w:ilvl w:val="0"/>
          <w:numId w:val="1"/>
        </w:numPr>
        <w:rPr>
          <w:rFonts w:hint="default"/>
          <w:lang w:val="en-US" w:eastAsia="zh-CN"/>
        </w:rPr>
      </w:pPr>
      <w:r>
        <w:rPr>
          <w:rFonts w:hint="eastAsia"/>
          <w:b/>
          <w:bCs/>
          <w:sz w:val="30"/>
          <w:szCs w:val="30"/>
          <w:lang w:val="en-US" w:eastAsia="zh-CN"/>
        </w:rPr>
        <w:t>设备明细</w:t>
      </w:r>
    </w:p>
    <w:tbl>
      <w:tblPr>
        <w:tblStyle w:val="6"/>
        <w:tblW w:w="7395"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260"/>
        <w:gridCol w:w="1770"/>
        <w:gridCol w:w="14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00" w:type="dxa"/>
          </w:tcPr>
          <w:p>
            <w:pPr>
              <w:jc w:val="center"/>
              <w:rPr>
                <w:rFonts w:hint="default"/>
                <w:vertAlign w:val="baseline"/>
                <w:lang w:val="en-US" w:eastAsia="zh-CN"/>
              </w:rPr>
            </w:pPr>
            <w:r>
              <w:rPr>
                <w:rFonts w:hint="default"/>
                <w:lang w:val="en-US" w:eastAsia="zh-CN"/>
              </w:rPr>
              <w:t>设备名称</w:t>
            </w:r>
          </w:p>
        </w:tc>
        <w:tc>
          <w:tcPr>
            <w:tcW w:w="1260" w:type="dxa"/>
          </w:tcPr>
          <w:p>
            <w:pPr>
              <w:jc w:val="center"/>
              <w:rPr>
                <w:rFonts w:hint="default"/>
                <w:vertAlign w:val="baseline"/>
                <w:lang w:val="en-US" w:eastAsia="zh-CN"/>
              </w:rPr>
            </w:pPr>
            <w:r>
              <w:rPr>
                <w:rFonts w:hint="eastAsia"/>
                <w:vertAlign w:val="baseline"/>
                <w:lang w:val="en-US" w:eastAsia="zh-CN"/>
              </w:rPr>
              <w:t>品牌</w:t>
            </w:r>
          </w:p>
        </w:tc>
        <w:tc>
          <w:tcPr>
            <w:tcW w:w="1770" w:type="dxa"/>
          </w:tcPr>
          <w:p>
            <w:pPr>
              <w:jc w:val="center"/>
              <w:rPr>
                <w:rFonts w:hint="default"/>
                <w:vertAlign w:val="baseline"/>
                <w:lang w:val="en-US" w:eastAsia="zh-CN"/>
              </w:rPr>
            </w:pPr>
            <w:r>
              <w:rPr>
                <w:rFonts w:hint="eastAsia"/>
                <w:lang w:val="en-US" w:eastAsia="zh-CN"/>
              </w:rPr>
              <w:t>型</w:t>
            </w:r>
            <w:r>
              <w:rPr>
                <w:rFonts w:hint="default"/>
                <w:lang w:val="en-US" w:eastAsia="zh-CN"/>
              </w:rPr>
              <w:t>号</w:t>
            </w:r>
          </w:p>
        </w:tc>
        <w:tc>
          <w:tcPr>
            <w:tcW w:w="1425" w:type="dxa"/>
          </w:tcPr>
          <w:p>
            <w:pPr>
              <w:jc w:val="center"/>
              <w:rPr>
                <w:rFonts w:hint="default"/>
                <w:vertAlign w:val="baseline"/>
                <w:lang w:val="en-US" w:eastAsia="zh-CN"/>
              </w:rPr>
            </w:pPr>
            <w:r>
              <w:rPr>
                <w:rFonts w:hint="default"/>
                <w:lang w:val="en-US" w:eastAsia="zh-CN"/>
              </w:rPr>
              <w:t>装购日期</w:t>
            </w:r>
          </w:p>
        </w:tc>
        <w:tc>
          <w:tcPr>
            <w:tcW w:w="1140" w:type="dxa"/>
          </w:tcPr>
          <w:p>
            <w:pPr>
              <w:jc w:val="center"/>
              <w:rPr>
                <w:rFonts w:hint="default"/>
                <w:vertAlign w:val="baseline"/>
                <w:lang w:val="en-US" w:eastAsia="zh-CN"/>
              </w:rPr>
            </w:pPr>
            <w:r>
              <w:rPr>
                <w:rFonts w:hint="default"/>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00" w:type="dxa"/>
          </w:tcPr>
          <w:p>
            <w:pPr>
              <w:ind w:firstLine="630" w:firstLineChars="300"/>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钬激光</w:t>
            </w:r>
          </w:p>
        </w:tc>
        <w:tc>
          <w:tcPr>
            <w:tcW w:w="1260" w:type="dxa"/>
          </w:tcPr>
          <w:p>
            <w:pPr>
              <w:jc w:val="center"/>
              <w:rPr>
                <w:rFonts w:hint="default"/>
                <w:lang w:val="en-US" w:eastAsia="zh-CN"/>
              </w:rPr>
            </w:pPr>
          </w:p>
          <w:p>
            <w:pPr>
              <w:jc w:val="center"/>
              <w:rPr>
                <w:rFonts w:hint="default"/>
                <w:vertAlign w:val="baseline"/>
                <w:lang w:val="en-US" w:eastAsia="zh-CN"/>
              </w:rPr>
            </w:pPr>
            <w:r>
              <w:rPr>
                <w:rFonts w:hint="eastAsia"/>
                <w:vertAlign w:val="baseline"/>
                <w:lang w:val="en-US" w:eastAsia="zh-CN"/>
              </w:rPr>
              <w:t>科医人</w:t>
            </w:r>
          </w:p>
        </w:tc>
        <w:tc>
          <w:tcPr>
            <w:tcW w:w="1770" w:type="dxa"/>
          </w:tcPr>
          <w:p>
            <w:pPr>
              <w:jc w:val="center"/>
              <w:rPr>
                <w:rFonts w:hint="default"/>
                <w:lang w:val="en-US" w:eastAsia="zh-CN"/>
              </w:rPr>
            </w:pPr>
          </w:p>
          <w:p>
            <w:pPr>
              <w:jc w:val="center"/>
              <w:rPr>
                <w:rFonts w:hint="default"/>
                <w:vertAlign w:val="baseline"/>
                <w:lang w:val="en-US" w:eastAsia="zh-CN"/>
              </w:rPr>
            </w:pPr>
            <w:r>
              <w:rPr>
                <w:rFonts w:hint="eastAsia"/>
                <w:vertAlign w:val="baseline"/>
                <w:lang w:val="en-US" w:eastAsia="zh-CN"/>
              </w:rPr>
              <w:t>Lumeno 60W</w:t>
            </w:r>
          </w:p>
        </w:tc>
        <w:tc>
          <w:tcPr>
            <w:tcW w:w="1425" w:type="dxa"/>
          </w:tcPr>
          <w:p>
            <w:pPr>
              <w:ind w:firstLine="210" w:firstLineChars="100"/>
              <w:jc w:val="both"/>
              <w:rPr>
                <w:rFonts w:hint="eastAsia"/>
                <w:vertAlign w:val="baseline"/>
                <w:lang w:val="en-US" w:eastAsia="zh-CN"/>
              </w:rPr>
            </w:pPr>
          </w:p>
          <w:p>
            <w:pPr>
              <w:ind w:firstLine="210" w:firstLineChars="100"/>
              <w:jc w:val="both"/>
              <w:rPr>
                <w:rFonts w:hint="default"/>
                <w:vertAlign w:val="baseline"/>
                <w:lang w:val="en-US" w:eastAsia="zh-CN"/>
              </w:rPr>
            </w:pPr>
            <w:r>
              <w:rPr>
                <w:rFonts w:hint="eastAsia"/>
                <w:vertAlign w:val="baseline"/>
                <w:lang w:val="en-US" w:eastAsia="zh-CN"/>
              </w:rPr>
              <w:t>2010.6</w:t>
            </w:r>
          </w:p>
        </w:tc>
        <w:tc>
          <w:tcPr>
            <w:tcW w:w="1140" w:type="dxa"/>
          </w:tcPr>
          <w:p>
            <w:pPr>
              <w:jc w:val="both"/>
              <w:rPr>
                <w:rFonts w:hint="default"/>
                <w:vertAlign w:val="baseline"/>
                <w:lang w:val="en-US" w:eastAsia="zh-CN"/>
              </w:rPr>
            </w:pPr>
          </w:p>
        </w:tc>
      </w:tr>
    </w:tbl>
    <w:p>
      <w:pPr>
        <w:rPr>
          <w:rFonts w:hint="default"/>
          <w:lang w:val="en-US" w:eastAsia="zh-CN"/>
        </w:rPr>
      </w:pPr>
    </w:p>
    <w:p>
      <w:pPr>
        <w:jc w:val="left"/>
        <w:rPr>
          <w:rFonts w:hint="eastAsia"/>
          <w:b w:val="0"/>
          <w:bCs w:val="0"/>
          <w:sz w:val="28"/>
          <w:szCs w:val="28"/>
          <w:lang w:val="en-US" w:eastAsia="zh-CN"/>
        </w:rPr>
      </w:pPr>
      <w:r>
        <w:rPr>
          <w:rFonts w:hint="eastAsia"/>
          <w:b/>
          <w:bCs/>
          <w:sz w:val="28"/>
          <w:szCs w:val="28"/>
          <w:lang w:val="en-US" w:eastAsia="zh-CN"/>
        </w:rPr>
        <w:t>二、维保服务内容：</w:t>
      </w:r>
      <w:r>
        <w:rPr>
          <w:rFonts w:hint="eastAsia"/>
          <w:b w:val="0"/>
          <w:bCs w:val="0"/>
          <w:sz w:val="28"/>
          <w:szCs w:val="28"/>
          <w:lang w:val="en-US" w:eastAsia="zh-CN"/>
        </w:rPr>
        <w:t xml:space="preserve"> </w:t>
      </w:r>
    </w:p>
    <w:p>
      <w:pPr>
        <w:bidi w:val="0"/>
        <w:rPr>
          <w:rFonts w:hint="eastAsia"/>
          <w:b w:val="0"/>
          <w:bCs w:val="0"/>
          <w:sz w:val="28"/>
          <w:szCs w:val="28"/>
        </w:rPr>
      </w:pPr>
      <w:r>
        <w:rPr>
          <w:rFonts w:hint="eastAsia"/>
          <w:b w:val="0"/>
          <w:bCs w:val="0"/>
          <w:sz w:val="28"/>
          <w:szCs w:val="28"/>
          <w:lang w:val="en-US" w:eastAsia="zh-CN"/>
        </w:rPr>
        <w:t>一</w:t>
      </w:r>
      <w:r>
        <w:rPr>
          <w:rFonts w:hint="eastAsia"/>
          <w:b w:val="0"/>
          <w:bCs w:val="0"/>
          <w:sz w:val="28"/>
          <w:szCs w:val="28"/>
        </w:rPr>
        <w:t>、资格要求：</w:t>
      </w:r>
    </w:p>
    <w:p>
      <w:pPr>
        <w:spacing w:line="360" w:lineRule="auto"/>
        <w:ind w:firstLine="560" w:firstLineChars="200"/>
        <w:rPr>
          <w:rFonts w:hint="eastAsia" w:ascii="仿宋" w:hAnsi="仿宋" w:eastAsia="仿宋" w:cs="仿宋"/>
          <w:sz w:val="28"/>
          <w:szCs w:val="28"/>
        </w:rPr>
      </w:pPr>
      <w:bookmarkStart w:id="0" w:name="OLE_LINK70"/>
      <w:bookmarkStart w:id="1" w:name="OLE_LINK65"/>
      <w:bookmarkStart w:id="2" w:name="OLE_LINK66"/>
      <w:r>
        <w:rPr>
          <w:rFonts w:hint="eastAsia" w:ascii="仿宋" w:hAnsi="仿宋" w:eastAsia="仿宋" w:cs="仿宋"/>
          <w:sz w:val="28"/>
          <w:szCs w:val="28"/>
        </w:rPr>
        <w:t>1、投标人应当是设备的原制造厂商或原制造厂商授权的单位或具备相关设备的维修能力</w:t>
      </w:r>
      <w:r>
        <w:rPr>
          <w:rFonts w:hint="eastAsia" w:ascii="仿宋" w:hAnsi="仿宋" w:eastAsia="仿宋" w:cs="仿宋"/>
          <w:sz w:val="28"/>
          <w:szCs w:val="28"/>
          <w:lang w:val="en-US" w:eastAsia="zh-CN"/>
        </w:rPr>
        <w:t>,</w:t>
      </w:r>
      <w:r>
        <w:rPr>
          <w:rFonts w:hint="eastAsia" w:ascii="仿宋" w:hAnsi="仿宋" w:eastAsia="仿宋" w:cs="仿宋"/>
          <w:sz w:val="28"/>
          <w:szCs w:val="28"/>
        </w:rPr>
        <w:t>具有中华人民共和国境内注册的独立法人资格</w:t>
      </w:r>
      <w:bookmarkEnd w:id="0"/>
      <w:r>
        <w:rPr>
          <w:rFonts w:hint="eastAsia" w:ascii="仿宋" w:hAnsi="仿宋" w:eastAsia="仿宋" w:cs="仿宋"/>
          <w:sz w:val="28"/>
          <w:szCs w:val="28"/>
        </w:rPr>
        <w:t>，具备履行合同所必需的经营范围、专用设备和专业技术能力</w:t>
      </w:r>
      <w:bookmarkEnd w:id="1"/>
      <w:bookmarkEnd w:id="2"/>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2、投标人提供合法、有效的营业执照、医疗器械经营许可证、法人授权书及相关人员社保证明资料。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3、投标人能独立承担民事责任并承诺在设备维保期内不进行转包。</w:t>
      </w:r>
    </w:p>
    <w:p>
      <w:pPr>
        <w:pStyle w:val="4"/>
        <w:spacing w:line="400" w:lineRule="exact"/>
        <w:rPr>
          <w:rFonts w:ascii="仿宋" w:hAnsi="仿宋" w:eastAsia="仿宋" w:cs="仿宋"/>
          <w:kern w:val="2"/>
          <w:sz w:val="28"/>
          <w:szCs w:val="28"/>
          <w:lang w:bidi="ar-SA"/>
        </w:rPr>
      </w:pPr>
      <w:bookmarkStart w:id="3" w:name="_Toc360726019"/>
      <w:r>
        <w:rPr>
          <w:rFonts w:hint="eastAsia" w:ascii="仿宋" w:hAnsi="仿宋" w:eastAsia="仿宋" w:cs="仿宋"/>
          <w:kern w:val="2"/>
          <w:sz w:val="28"/>
          <w:szCs w:val="28"/>
          <w:lang w:val="en-US" w:eastAsia="zh-CN" w:bidi="ar-SA"/>
        </w:rPr>
        <w:t>二</w:t>
      </w:r>
      <w:r>
        <w:rPr>
          <w:rFonts w:hint="eastAsia" w:ascii="仿宋" w:hAnsi="仿宋" w:eastAsia="仿宋" w:cs="仿宋"/>
          <w:kern w:val="2"/>
          <w:sz w:val="28"/>
          <w:szCs w:val="28"/>
          <w:lang w:bidi="ar-SA"/>
        </w:rPr>
        <w:t>、服务内容及具体要求</w:t>
      </w:r>
    </w:p>
    <w:bookmarkEnd w:id="3"/>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rPr>
        <w:t>免费将医院的设备修复至正常状态，需要解决的故障等。</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2、投标人保证设备年开机率≥95%（按一年365天，每天24小时计算）。若设备开机率低于95%，停机时间每超过一天顺延七天维保期。并承担由此给采购方造成的损失。</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3、投标人提供365天×24小时的技术服务及不限次数的人工上门维修。维保服务期内维保设备维护、维修所发生的所有费用（更换零部件费，人工费和出差费等）均由投标人方承担。电话响应时间：1小时，收到现场服务请求后12小时内到达维保设备现场（不可抗力除外）。安全检查和维护保养提前预约服务时间，尽量不影响日常诊疗工作。</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4、投标人每年提供</w:t>
      </w:r>
      <w:r>
        <w:rPr>
          <w:rFonts w:hint="eastAsia" w:ascii="仿宋" w:hAnsi="仿宋" w:eastAsia="仿宋" w:cs="仿宋"/>
          <w:sz w:val="28"/>
          <w:szCs w:val="28"/>
          <w:lang w:val="en-US" w:eastAsia="zh-CN"/>
        </w:rPr>
        <w:t>3</w:t>
      </w:r>
      <w:r>
        <w:rPr>
          <w:rFonts w:hint="eastAsia" w:ascii="仿宋" w:hAnsi="仿宋" w:eastAsia="仿宋" w:cs="仿宋"/>
          <w:sz w:val="28"/>
          <w:szCs w:val="28"/>
        </w:rPr>
        <w:t>次安全检查和预防性维护保养，安全检查和保养包括但不限于以下内容：机械安全检查，设备除尘保养，运行状态检查、电气安全检查、</w:t>
      </w:r>
      <w:r>
        <w:rPr>
          <w:rFonts w:hint="eastAsia" w:ascii="仿宋" w:hAnsi="仿宋" w:eastAsia="仿宋" w:cs="仿宋"/>
          <w:sz w:val="28"/>
          <w:szCs w:val="28"/>
          <w:lang w:val="en-US" w:eastAsia="zh-CN"/>
        </w:rPr>
        <w:t>循环水及滤芯更换、</w:t>
      </w:r>
      <w:r>
        <w:rPr>
          <w:rFonts w:hint="eastAsia" w:ascii="仿宋" w:hAnsi="仿宋" w:eastAsia="仿宋" w:cs="仿宋"/>
          <w:sz w:val="28"/>
          <w:szCs w:val="28"/>
        </w:rPr>
        <w:t>性能测试及校准，以及非紧急性质的预防性维护，提供保养检测报告，保证设备处于最佳运行状态。</w:t>
      </w:r>
    </w:p>
    <w:p>
      <w:pPr>
        <w:pStyle w:val="8"/>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5、投标人提供400或800服务热线电话供采购人与投标人的技术专家进行交流,保证及时获得在线技术支持和维修诊断。</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人提供维保服务时，按要求在采购人的设备管理部门进行备案，完成相关服务后，须在采购人的设备科、使用科室保留原始工作记录（维修工单及保养清单），并经双方签字确认，每年须出具年度维保服务报告。</w:t>
      </w:r>
    </w:p>
    <w:p>
      <w:pPr>
        <w:pStyle w:val="9"/>
        <w:ind w:left="0" w:leftChars="0" w:firstLine="6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w:t>
      </w:r>
      <w:r>
        <w:rPr>
          <w:rFonts w:hint="eastAsia" w:ascii="仿宋" w:hAnsi="仿宋" w:eastAsia="仿宋" w:cs="仿宋"/>
          <w:sz w:val="28"/>
          <w:szCs w:val="28"/>
        </w:rPr>
        <w:t>提供设备管理方案，能够实现远程报修及培训（远程报修、远程培训、电子签单等），提供软件著作权证明。</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维保期内，采购方每半年对服务提供方提供的服务质量进行考核（包括：开机率、响应时间、工作排除及维保服务条款履行情况等）。若考核不合格，采购方有权解除合同并要求服务提供方赔偿由于设备停机造成的直接和间接损失。</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、维保服务具体时间以合同约定为准</w:t>
      </w:r>
      <w:r>
        <w:rPr>
          <w:rFonts w:hint="eastAsia" w:ascii="仿宋" w:hAnsi="仿宋" w:eastAsia="仿宋" w:cs="仿宋"/>
          <w:sz w:val="28"/>
          <w:szCs w:val="28"/>
          <w:lang w:eastAsia="zh-CN"/>
        </w:rPr>
        <w:t>。</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DCBF2"/>
    <w:multiLevelType w:val="singleLevel"/>
    <w:tmpl w:val="F82DCB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WQyMTY2ZTU4ZjYzMGRjMDhlMjMzMDJlYzcxOWYifQ=="/>
  </w:docVars>
  <w:rsids>
    <w:rsidRoot w:val="2B821ADB"/>
    <w:rsid w:val="19410F8E"/>
    <w:rsid w:val="2B821ADB"/>
    <w:rsid w:val="38543835"/>
    <w:rsid w:val="3C4D6B4A"/>
    <w:rsid w:val="4D554A5F"/>
    <w:rsid w:val="4EEC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kern w:val="0"/>
      <w:szCs w:val="21"/>
      <w:lang w:eastAsia="en-US"/>
    </w:rPr>
  </w:style>
  <w:style w:type="paragraph" w:styleId="3">
    <w:name w:val="Block Text"/>
    <w:basedOn w:val="1"/>
    <w:semiHidden/>
    <w:unhideWhenUsed/>
    <w:qFormat/>
    <w:uiPriority w:val="0"/>
    <w:pPr>
      <w:ind w:left="582" w:right="302" w:rightChars="144" w:hanging="582" w:hangingChars="300"/>
    </w:pPr>
    <w:rPr>
      <w:spacing w:val="-8"/>
    </w:rPr>
  </w:style>
  <w:style w:type="paragraph" w:styleId="4">
    <w:name w:val="Plain Text"/>
    <w:basedOn w:val="1"/>
    <w:qFormat/>
    <w:uiPriority w:val="0"/>
    <w:rPr>
      <w:rFonts w:ascii="宋体" w:hAnsi="Courier New"/>
      <w:kern w:val="0"/>
      <w:sz w:val="20"/>
      <w:szCs w:val="20"/>
      <w:lang w:bidi="mn-Mong-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left="720"/>
      <w:contextualSpacing/>
    </w:pPr>
  </w:style>
  <w:style w:type="paragraph" w:customStyle="1" w:styleId="9">
    <w:name w:val="BodyText1I2"/>
    <w:basedOn w:val="10"/>
    <w:next w:val="11"/>
    <w:qFormat/>
    <w:uiPriority w:val="0"/>
    <w:pPr>
      <w:spacing w:after="120"/>
      <w:ind w:left="420" w:leftChars="200" w:firstLine="420" w:firstLineChars="200"/>
      <w:jc w:val="both"/>
      <w:textAlignment w:val="baseline"/>
    </w:pPr>
  </w:style>
  <w:style w:type="paragraph" w:customStyle="1" w:styleId="10">
    <w:name w:val="BodyTextIndent"/>
    <w:basedOn w:val="1"/>
    <w:qFormat/>
    <w:uiPriority w:val="0"/>
    <w:pPr>
      <w:spacing w:after="120"/>
      <w:ind w:left="420" w:leftChars="200"/>
      <w:jc w:val="both"/>
      <w:textAlignment w:val="baseline"/>
    </w:pPr>
    <w:rPr>
      <w:kern w:val="0"/>
      <w:sz w:val="20"/>
      <w:szCs w:val="24"/>
      <w:lang w:val="en-US" w:eastAsia="zh-CN" w:bidi="ar-SA"/>
    </w:rPr>
  </w:style>
  <w:style w:type="paragraph" w:customStyle="1" w:styleId="11">
    <w:name w:val="NormalIndent"/>
    <w:basedOn w:val="1"/>
    <w:qFormat/>
    <w:uiPriority w:val="0"/>
    <w:pPr>
      <w:widowControl/>
      <w:ind w:firstLine="420"/>
      <w:jc w:val="left"/>
      <w:textAlignment w:val="baseline"/>
    </w:pPr>
    <w:rPr>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1043</Words>
  <Characters>1071</Characters>
  <Lines>0</Lines>
  <Paragraphs>0</Paragraphs>
  <TotalTime>19</TotalTime>
  <ScaleCrop>false</ScaleCrop>
  <LinksUpToDate>false</LinksUpToDate>
  <CharactersWithSpaces>1110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2023-09-07T02:42:00Z</dcterms:created>
  <dc:creator>HP</dc:creator>
  <cp:lastModifiedBy>two cents</cp:lastModifiedBy>
  <cp:lastPrinted>2023-11-09T00:30:00Z</cp:lastPrinted>
  <dcterms:modified xsi:type="dcterms:W3CDTF">2023-11-17T00:42:54Z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065A567BF7AF4E8694D79FEC8A8958F9_13</vt:lpwstr>
  </property>
</Properties>
</file>