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eastAsia="宋体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全自动化学发光免疫分析仪技术参数</w:t>
      </w:r>
      <w:bookmarkStart w:id="0" w:name="_GoBack"/>
      <w:bookmarkEnd w:id="0"/>
    </w:p>
    <w:tbl>
      <w:tblPr>
        <w:tblStyle w:val="5"/>
        <w:tblW w:w="852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0"/>
        <w:gridCol w:w="741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1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tabs>
                <w:tab w:val="left" w:pos="3834"/>
              </w:tabs>
              <w:ind w:right="-74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74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</w:tcPr>
          <w:p>
            <w:pPr>
              <w:jc w:val="center"/>
              <w:rPr>
                <w:rFonts w:ascii="宋体" w:hAnsi="宋体" w:cs="宋体"/>
                <w:b/>
                <w:color w:val="000000" w:themeColor="text1"/>
                <w:sz w:val="28"/>
                <w:szCs w:val="28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jc w:val="center"/>
        </w:trPr>
        <w:tc>
          <w:tcPr>
            <w:tcW w:w="11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color w:val="000000" w:themeColor="text1"/>
                <w:sz w:val="24"/>
                <w:szCs w:val="24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4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</w:tcPr>
          <w:p>
            <w:pPr>
              <w:spacing w:line="360" w:lineRule="auto"/>
              <w:rPr>
                <w:rFonts w:hint="eastAsia" w:ascii="宋体" w:hAnsi="宋体" w:cs="宋体"/>
                <w:color w:val="000000" w:themeColor="text1"/>
                <w:sz w:val="24"/>
                <w:szCs w:val="24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  <w:t>测试速度≥300T/H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  <w:jc w:val="center"/>
        </w:trPr>
        <w:tc>
          <w:tcPr>
            <w:tcW w:w="11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4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</w:tcPr>
          <w:p>
            <w:pPr>
              <w:spacing w:line="360" w:lineRule="auto"/>
              <w:rPr>
                <w:rFonts w:ascii="宋体" w:hAnsi="宋体" w:cs="宋体"/>
                <w:color w:val="000000" w:themeColor="text1"/>
                <w:sz w:val="24"/>
                <w:szCs w:val="24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  <w:t>进样轨道：采用轨道进样模式，同时在机样本管数量≥300个，并可连续装载，可使用原始管直接上机检测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jc w:val="center"/>
        </w:trPr>
        <w:tc>
          <w:tcPr>
            <w:tcW w:w="11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4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</w:tcPr>
          <w:p>
            <w:pPr>
              <w:spacing w:line="360" w:lineRule="auto"/>
              <w:rPr>
                <w:rFonts w:ascii="宋体" w:hAnsi="宋体" w:cs="宋体"/>
                <w:color w:val="000000" w:themeColor="text1"/>
                <w:sz w:val="24"/>
                <w:szCs w:val="24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  <w:t>样本装载：样本放入区可同时装载≥300个样本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jc w:val="center"/>
        </w:trPr>
        <w:tc>
          <w:tcPr>
            <w:tcW w:w="11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4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</w:tcPr>
          <w:p>
            <w:pPr>
              <w:spacing w:line="360" w:lineRule="auto"/>
              <w:rPr>
                <w:rFonts w:ascii="宋体" w:hAnsi="宋体" w:cs="宋体"/>
                <w:color w:val="000000" w:themeColor="text1"/>
                <w:sz w:val="24"/>
                <w:szCs w:val="24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  <w:t>样本提篮： 具有样本架自锁紧防倾倒和防脱落功能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jc w:val="center"/>
        </w:trPr>
        <w:tc>
          <w:tcPr>
            <w:tcW w:w="11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4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</w:tcPr>
          <w:p>
            <w:pPr>
              <w:spacing w:line="360" w:lineRule="auto"/>
              <w:rPr>
                <w:rFonts w:ascii="宋体" w:hAnsi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  <w:t>能够自动识别不同的样本容器，对异常液面智能识别和报警，确保加样的准确性。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jc w:val="center"/>
        </w:trPr>
        <w:tc>
          <w:tcPr>
            <w:tcW w:w="11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74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</w:tcPr>
          <w:p>
            <w:pPr>
              <w:spacing w:line="360" w:lineRule="auto"/>
              <w:rPr>
                <w:rFonts w:ascii="宋体" w:hAnsi="宋体" w:cs="宋体"/>
                <w:color w:val="000000" w:themeColor="text1"/>
                <w:sz w:val="24"/>
                <w:szCs w:val="24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  <w:t>单模块试剂通道：≥36个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jc w:val="center"/>
        </w:trPr>
        <w:tc>
          <w:tcPr>
            <w:tcW w:w="11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74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</w:tcPr>
          <w:p>
            <w:pPr>
              <w:spacing w:line="360" w:lineRule="auto"/>
              <w:rPr>
                <w:rFonts w:ascii="宋体" w:hAnsi="宋体" w:cs="宋体"/>
                <w:color w:val="000000" w:themeColor="text1"/>
                <w:sz w:val="24"/>
                <w:szCs w:val="24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  <w:t>样本类型：样本类型包括血清、血浆、尿液等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jc w:val="center"/>
        </w:trPr>
        <w:tc>
          <w:tcPr>
            <w:tcW w:w="11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74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</w:tcPr>
          <w:p>
            <w:pPr>
              <w:spacing w:line="360" w:lineRule="auto"/>
              <w:rPr>
                <w:rFonts w:ascii="宋体" w:hAnsi="宋体" w:cs="宋体"/>
                <w:color w:val="000000" w:themeColor="text1"/>
                <w:sz w:val="24"/>
                <w:szCs w:val="24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  <w:t>样本管规格：能支持微量样本杯、原始采血管、塑料试管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jc w:val="center"/>
        </w:trPr>
        <w:tc>
          <w:tcPr>
            <w:tcW w:w="11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74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</w:tcPr>
          <w:p>
            <w:pPr>
              <w:spacing w:line="360" w:lineRule="auto"/>
              <w:rPr>
                <w:rFonts w:ascii="宋体" w:hAnsi="宋体" w:cs="宋体"/>
                <w:color w:val="000000" w:themeColor="text1"/>
                <w:sz w:val="24"/>
                <w:szCs w:val="24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  <w:t>具备样品凝块检出功能及样品探针堵孔报警和防碰撞功能，具备试管液面探测技术，具有其他样本状态检测功能更佳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jc w:val="center"/>
        </w:trPr>
        <w:tc>
          <w:tcPr>
            <w:tcW w:w="11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74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</w:tcPr>
          <w:p>
            <w:pPr>
              <w:spacing w:line="360" w:lineRule="auto"/>
              <w:rPr>
                <w:rFonts w:ascii="宋体" w:hAnsi="宋体" w:cs="宋体"/>
                <w:color w:val="000000" w:themeColor="text1"/>
                <w:sz w:val="24"/>
                <w:szCs w:val="24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  <w:t>反应杯：反应单元为一次性反应杯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jc w:val="center"/>
        </w:trPr>
        <w:tc>
          <w:tcPr>
            <w:tcW w:w="11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宋体" w:hAnsi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4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</w:tcPr>
          <w:p>
            <w:pPr>
              <w:spacing w:line="360" w:lineRule="auto"/>
              <w:rPr>
                <w:rFonts w:ascii="宋体" w:hAnsi="宋体" w:cs="宋体"/>
                <w:color w:val="000000" w:themeColor="text1"/>
                <w:sz w:val="24"/>
                <w:szCs w:val="24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  <w:t>反应温度控制在</w:t>
            </w: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37</w:t>
            </w: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  <w:t>℃±</w:t>
            </w: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0.1</w:t>
            </w: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  <w:t>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jc w:val="center"/>
        </w:trPr>
        <w:tc>
          <w:tcPr>
            <w:tcW w:w="11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*</w:t>
            </w:r>
            <w:r>
              <w:rPr>
                <w:rFonts w:ascii="宋体" w:hAnsi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74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</w:tcPr>
          <w:p>
            <w:pPr>
              <w:spacing w:line="360" w:lineRule="auto"/>
              <w:rPr>
                <w:rFonts w:ascii="宋体" w:hAnsi="宋体" w:cs="宋体"/>
                <w:color w:val="000000" w:themeColor="text1"/>
                <w:sz w:val="24"/>
                <w:szCs w:val="24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  <w:t>混匀方式：同时具备非接触式偏心涡旋混匀和超声混匀两种技术。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jc w:val="center"/>
        </w:trPr>
        <w:tc>
          <w:tcPr>
            <w:tcW w:w="11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74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</w:tcPr>
          <w:p>
            <w:pPr>
              <w:spacing w:line="360" w:lineRule="auto"/>
              <w:rPr>
                <w:rFonts w:ascii="宋体" w:hAnsi="宋体" w:cs="宋体"/>
                <w:color w:val="000000" w:themeColor="text1"/>
                <w:sz w:val="24"/>
                <w:szCs w:val="24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  <w:t>生物防风险设置，可进行反应后物质固体和液体分离技术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jc w:val="center"/>
        </w:trPr>
        <w:tc>
          <w:tcPr>
            <w:tcW w:w="11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74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</w:tcPr>
          <w:p>
            <w:pPr>
              <w:spacing w:line="360" w:lineRule="auto"/>
              <w:rPr>
                <w:rFonts w:ascii="宋体" w:hAnsi="宋体" w:cs="宋体"/>
                <w:color w:val="000000" w:themeColor="text1"/>
                <w:sz w:val="24"/>
                <w:szCs w:val="24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  <w:t>磁分离机构布局：单独磁分离盘，</w:t>
            </w: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  <w:t>重磁分离清洗，底物注入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jc w:val="center"/>
        </w:trPr>
        <w:tc>
          <w:tcPr>
            <w:tcW w:w="11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74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</w:tcPr>
          <w:p>
            <w:pPr>
              <w:spacing w:line="360" w:lineRule="auto"/>
              <w:rPr>
                <w:rFonts w:ascii="宋体" w:hAnsi="宋体" w:cs="宋体"/>
                <w:color w:val="000000" w:themeColor="text1"/>
                <w:sz w:val="24"/>
                <w:szCs w:val="24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  <w:t>校准方式：内置主曲线，二维码识别，配套校准品校正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jc w:val="center"/>
        </w:trPr>
        <w:tc>
          <w:tcPr>
            <w:tcW w:w="11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74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</w:tcPr>
          <w:p>
            <w:pPr>
              <w:spacing w:line="360" w:lineRule="auto"/>
              <w:rPr>
                <w:rFonts w:ascii="宋体" w:hAnsi="宋体" w:cs="宋体"/>
                <w:color w:val="000000" w:themeColor="text1"/>
                <w:sz w:val="24"/>
                <w:szCs w:val="24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  <w:t>可以支持不停机的状态连续装载试剂盒及辅助耗材，减少操作时间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jc w:val="center"/>
        </w:trPr>
        <w:tc>
          <w:tcPr>
            <w:tcW w:w="11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74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</w:tcPr>
          <w:p>
            <w:pPr>
              <w:spacing w:line="360" w:lineRule="auto"/>
              <w:rPr>
                <w:rFonts w:ascii="宋体" w:hAnsi="宋体" w:cs="宋体"/>
                <w:color w:val="000000" w:themeColor="text1"/>
                <w:sz w:val="24"/>
                <w:szCs w:val="24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  <w:t>溯源性：符合国际量值溯源体系要求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  <w:jc w:val="center"/>
        </w:trPr>
        <w:tc>
          <w:tcPr>
            <w:tcW w:w="11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74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</w:tcPr>
          <w:p>
            <w:pPr>
              <w:spacing w:line="360" w:lineRule="auto"/>
              <w:rPr>
                <w:rFonts w:ascii="宋体" w:hAnsi="宋体" w:cs="宋体"/>
                <w:color w:val="000000" w:themeColor="text1"/>
                <w:sz w:val="24"/>
                <w:szCs w:val="24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  <w:t>全部检测项目要≥65项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jc w:val="center"/>
        </w:trPr>
        <w:tc>
          <w:tcPr>
            <w:tcW w:w="11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*</w:t>
            </w:r>
            <w:r>
              <w:rPr>
                <w:rFonts w:ascii="宋体" w:hAnsi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74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</w:tcPr>
          <w:p>
            <w:pPr>
              <w:spacing w:line="360" w:lineRule="auto"/>
              <w:rPr>
                <w:rFonts w:ascii="宋体" w:hAnsi="宋体" w:cs="宋体"/>
                <w:color w:val="000000" w:themeColor="text1"/>
                <w:sz w:val="24"/>
                <w:szCs w:val="24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  <w:t>拓展功能：具有模块化拓展功能，可连接不同速度及功能的模块，可以与同品牌全自动生化仪联机，可组成生化免疫一体机，可组成多联化学发光分析仪，可连接前处理系统组成全自动流水线；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jc w:val="center"/>
        </w:trPr>
        <w:tc>
          <w:tcPr>
            <w:tcW w:w="11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*</w:t>
            </w:r>
            <w:r>
              <w:rPr>
                <w:rFonts w:ascii="宋体" w:hAnsi="宋体" w:cs="宋体"/>
                <w:color w:val="000000" w:themeColor="text1"/>
                <w:sz w:val="24"/>
                <w:szCs w:val="24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74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</w:tcPr>
          <w:p>
            <w:pPr>
              <w:spacing w:line="360" w:lineRule="auto"/>
              <w:rPr>
                <w:rFonts w:ascii="宋体" w:hAnsi="宋体" w:cs="宋体"/>
                <w:color w:val="000000" w:themeColor="text1"/>
                <w:sz w:val="24"/>
                <w:szCs w:val="24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  <w:t>检测项目要求：肿瘤标志物（需开展肺癌五项筛查NSE，CYFRA 21-1，CEA，proGRP，SCC），传染病、甲状腺功能检测项目、骨标志物及NT-proBNP心肌检测项目。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jc w:val="center"/>
        </w:trPr>
        <w:tc>
          <w:tcPr>
            <w:tcW w:w="11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*</w:t>
            </w:r>
            <w:r>
              <w:rPr>
                <w:rFonts w:ascii="宋体" w:hAnsi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74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</w:tcPr>
          <w:p>
            <w:pPr>
              <w:spacing w:line="360" w:lineRule="auto"/>
              <w:rPr>
                <w:rFonts w:ascii="宋体" w:hAnsi="宋体" w:cs="宋体"/>
                <w:color w:val="000000" w:themeColor="text1"/>
                <w:sz w:val="24"/>
                <w:szCs w:val="24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  <w:t>甲功五项（FT3,FT4,T3,T4,TSH）提供中国妊娠人群参考范围，并写入试剂说明书。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jc w:val="center"/>
        </w:trPr>
        <w:tc>
          <w:tcPr>
            <w:tcW w:w="11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74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</w:tcPr>
          <w:p>
            <w:pPr>
              <w:spacing w:line="360" w:lineRule="auto"/>
              <w:rPr>
                <w:rFonts w:ascii="宋体" w:hAnsi="宋体" w:cs="宋体"/>
                <w:color w:val="000000" w:themeColor="text1"/>
                <w:sz w:val="24"/>
                <w:szCs w:val="24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  <w:t>全部检测项目要≥</w:t>
            </w: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ascii="宋体" w:hAnsi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jc w:val="center"/>
        </w:trPr>
        <w:tc>
          <w:tcPr>
            <w:tcW w:w="11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74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</w:tcPr>
          <w:p>
            <w:pPr>
              <w:spacing w:line="360" w:lineRule="auto"/>
              <w:rPr>
                <w:rFonts w:ascii="宋体" w:hAnsi="宋体" w:cs="宋体"/>
                <w:color w:val="000000" w:themeColor="text1"/>
                <w:sz w:val="24"/>
                <w:szCs w:val="24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  <w:t>原厂负责售后服务，并且当地有常驻工程师和技术人员，提供当地应用技术人员联系方式和厂家维修授权证书，以方便核查</w:t>
            </w: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  <w:tab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jc w:val="center"/>
        </w:trPr>
        <w:tc>
          <w:tcPr>
            <w:tcW w:w="11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74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</w:tcPr>
          <w:p>
            <w:pPr>
              <w:spacing w:line="360" w:lineRule="auto"/>
              <w:rPr>
                <w:rFonts w:ascii="宋体" w:hAnsi="宋体" w:cs="宋体"/>
                <w:color w:val="000000" w:themeColor="text1"/>
                <w:sz w:val="24"/>
                <w:szCs w:val="24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  <w:t>校准质控要求</w:t>
            </w: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  <w:t>采用原厂质控品和校准品，满足溯源性要求，并提供溯源性文件。要求提供原厂校准品和质控品的注册证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jc w:val="center"/>
        </w:trPr>
        <w:tc>
          <w:tcPr>
            <w:tcW w:w="11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*</w:t>
            </w:r>
            <w:r>
              <w:rPr>
                <w:rFonts w:ascii="宋体" w:hAnsi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74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</w:tcPr>
          <w:p>
            <w:pPr>
              <w:spacing w:line="360" w:lineRule="auto"/>
              <w:rPr>
                <w:rFonts w:ascii="宋体" w:hAnsi="宋体" w:cs="宋体"/>
                <w:color w:val="000000" w:themeColor="text1"/>
                <w:sz w:val="24"/>
                <w:szCs w:val="24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  <w:t xml:space="preserve">能够支持带条码的校准品和质控品上机直接检测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jc w:val="center"/>
        </w:trPr>
        <w:tc>
          <w:tcPr>
            <w:tcW w:w="11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74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</w:tcPr>
          <w:p>
            <w:pPr>
              <w:spacing w:line="360" w:lineRule="auto"/>
              <w:rPr>
                <w:rFonts w:ascii="宋体" w:hAnsi="宋体" w:cs="宋体"/>
                <w:color w:val="000000" w:themeColor="text1"/>
                <w:sz w:val="24"/>
                <w:szCs w:val="24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highlight w:val="none"/>
                <w:lang w:val="zh-CN"/>
                <w14:textFill>
                  <w14:solidFill>
                    <w14:schemeClr w14:val="tx1"/>
                  </w14:solidFill>
                </w14:textFill>
              </w:rPr>
              <w:t>急诊通道：具有独立急诊通道，并且有优先处理胸痛中心样本的急诊检测能力</w:t>
            </w:r>
          </w:p>
        </w:tc>
      </w:tr>
    </w:tbl>
    <w:p>
      <w:pPr>
        <w:pStyle w:val="9"/>
        <w:ind w:left="720"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AzYjAyNWNhNDkxZDkxMjI4Mjc1OGQ2MGZkYWY3MjkifQ=="/>
  </w:docVars>
  <w:rsids>
    <w:rsidRoot w:val="001C6978"/>
    <w:rsid w:val="00005D52"/>
    <w:rsid w:val="00011531"/>
    <w:rsid w:val="00015D3B"/>
    <w:rsid w:val="00027679"/>
    <w:rsid w:val="000330ED"/>
    <w:rsid w:val="00046984"/>
    <w:rsid w:val="0005238B"/>
    <w:rsid w:val="00052A2C"/>
    <w:rsid w:val="00055079"/>
    <w:rsid w:val="00072E5A"/>
    <w:rsid w:val="00084D64"/>
    <w:rsid w:val="00096862"/>
    <w:rsid w:val="000978E9"/>
    <w:rsid w:val="000A18CA"/>
    <w:rsid w:val="000B5B1D"/>
    <w:rsid w:val="000B660C"/>
    <w:rsid w:val="000E7625"/>
    <w:rsid w:val="000F1BCB"/>
    <w:rsid w:val="000F351A"/>
    <w:rsid w:val="001011EA"/>
    <w:rsid w:val="00114645"/>
    <w:rsid w:val="00143BDE"/>
    <w:rsid w:val="00145BF1"/>
    <w:rsid w:val="001503D3"/>
    <w:rsid w:val="00166642"/>
    <w:rsid w:val="001768A0"/>
    <w:rsid w:val="00181260"/>
    <w:rsid w:val="001826F8"/>
    <w:rsid w:val="001B5622"/>
    <w:rsid w:val="001C6978"/>
    <w:rsid w:val="001D76E1"/>
    <w:rsid w:val="001F2C2F"/>
    <w:rsid w:val="00216827"/>
    <w:rsid w:val="0021789F"/>
    <w:rsid w:val="00224901"/>
    <w:rsid w:val="00227D42"/>
    <w:rsid w:val="00241DC2"/>
    <w:rsid w:val="00242462"/>
    <w:rsid w:val="002448CA"/>
    <w:rsid w:val="00244C45"/>
    <w:rsid w:val="00252D3D"/>
    <w:rsid w:val="00252E42"/>
    <w:rsid w:val="00255DE5"/>
    <w:rsid w:val="00276CC9"/>
    <w:rsid w:val="00280A94"/>
    <w:rsid w:val="002862AD"/>
    <w:rsid w:val="0029486A"/>
    <w:rsid w:val="002A5275"/>
    <w:rsid w:val="002B318A"/>
    <w:rsid w:val="002C42A4"/>
    <w:rsid w:val="002C5D37"/>
    <w:rsid w:val="002F369D"/>
    <w:rsid w:val="00305ED9"/>
    <w:rsid w:val="00313A3C"/>
    <w:rsid w:val="00315FA0"/>
    <w:rsid w:val="00322ECB"/>
    <w:rsid w:val="0034075E"/>
    <w:rsid w:val="00357E2F"/>
    <w:rsid w:val="00361E8D"/>
    <w:rsid w:val="003C67FE"/>
    <w:rsid w:val="003D466E"/>
    <w:rsid w:val="003D7B71"/>
    <w:rsid w:val="003E508B"/>
    <w:rsid w:val="003F5E6F"/>
    <w:rsid w:val="004249E0"/>
    <w:rsid w:val="00427C40"/>
    <w:rsid w:val="00446511"/>
    <w:rsid w:val="00446E2B"/>
    <w:rsid w:val="00453E7E"/>
    <w:rsid w:val="004628D8"/>
    <w:rsid w:val="0046431F"/>
    <w:rsid w:val="004703E8"/>
    <w:rsid w:val="0047599C"/>
    <w:rsid w:val="004A2167"/>
    <w:rsid w:val="004A4236"/>
    <w:rsid w:val="004B2923"/>
    <w:rsid w:val="004B389E"/>
    <w:rsid w:val="004B38A6"/>
    <w:rsid w:val="004B49C2"/>
    <w:rsid w:val="004B50B3"/>
    <w:rsid w:val="004B78BC"/>
    <w:rsid w:val="00506E6C"/>
    <w:rsid w:val="00524FFB"/>
    <w:rsid w:val="00541208"/>
    <w:rsid w:val="00547AE9"/>
    <w:rsid w:val="00572A1F"/>
    <w:rsid w:val="005871A7"/>
    <w:rsid w:val="005B7FA6"/>
    <w:rsid w:val="005C01C6"/>
    <w:rsid w:val="005D7523"/>
    <w:rsid w:val="005E18A5"/>
    <w:rsid w:val="005E53BF"/>
    <w:rsid w:val="005F3DE6"/>
    <w:rsid w:val="006025C1"/>
    <w:rsid w:val="00655486"/>
    <w:rsid w:val="00670081"/>
    <w:rsid w:val="00690766"/>
    <w:rsid w:val="006A37CE"/>
    <w:rsid w:val="006B153A"/>
    <w:rsid w:val="006B5D69"/>
    <w:rsid w:val="006D6DB9"/>
    <w:rsid w:val="00707079"/>
    <w:rsid w:val="007129F6"/>
    <w:rsid w:val="00725373"/>
    <w:rsid w:val="007531F0"/>
    <w:rsid w:val="00753CE9"/>
    <w:rsid w:val="0075744D"/>
    <w:rsid w:val="00763E36"/>
    <w:rsid w:val="00771A93"/>
    <w:rsid w:val="007727D4"/>
    <w:rsid w:val="00776CAE"/>
    <w:rsid w:val="007814A9"/>
    <w:rsid w:val="007814B5"/>
    <w:rsid w:val="007C5638"/>
    <w:rsid w:val="007D1225"/>
    <w:rsid w:val="007F4FB9"/>
    <w:rsid w:val="00821A81"/>
    <w:rsid w:val="00822719"/>
    <w:rsid w:val="0082463B"/>
    <w:rsid w:val="0082608B"/>
    <w:rsid w:val="008315AD"/>
    <w:rsid w:val="008360E8"/>
    <w:rsid w:val="00842A4F"/>
    <w:rsid w:val="00842D47"/>
    <w:rsid w:val="00860C6F"/>
    <w:rsid w:val="00860CE6"/>
    <w:rsid w:val="0088043D"/>
    <w:rsid w:val="008812FD"/>
    <w:rsid w:val="00886AAF"/>
    <w:rsid w:val="00886F01"/>
    <w:rsid w:val="00887851"/>
    <w:rsid w:val="008B054B"/>
    <w:rsid w:val="008B45BD"/>
    <w:rsid w:val="008B545D"/>
    <w:rsid w:val="008C37C2"/>
    <w:rsid w:val="008D16E1"/>
    <w:rsid w:val="008F4FF7"/>
    <w:rsid w:val="00901CC8"/>
    <w:rsid w:val="00902491"/>
    <w:rsid w:val="0091197D"/>
    <w:rsid w:val="00913E16"/>
    <w:rsid w:val="00960FCC"/>
    <w:rsid w:val="00963ED6"/>
    <w:rsid w:val="00970A50"/>
    <w:rsid w:val="009A4A8D"/>
    <w:rsid w:val="009A5576"/>
    <w:rsid w:val="009D3CF6"/>
    <w:rsid w:val="009E09C8"/>
    <w:rsid w:val="009F513D"/>
    <w:rsid w:val="00A03DAA"/>
    <w:rsid w:val="00A06726"/>
    <w:rsid w:val="00A10F10"/>
    <w:rsid w:val="00A42E75"/>
    <w:rsid w:val="00A45A81"/>
    <w:rsid w:val="00A46F0F"/>
    <w:rsid w:val="00A5507D"/>
    <w:rsid w:val="00A6275B"/>
    <w:rsid w:val="00A6541F"/>
    <w:rsid w:val="00A700CC"/>
    <w:rsid w:val="00A71403"/>
    <w:rsid w:val="00A77566"/>
    <w:rsid w:val="00A82CDE"/>
    <w:rsid w:val="00AD21A0"/>
    <w:rsid w:val="00AD7356"/>
    <w:rsid w:val="00AE1401"/>
    <w:rsid w:val="00AE1DE8"/>
    <w:rsid w:val="00AF5D44"/>
    <w:rsid w:val="00B35031"/>
    <w:rsid w:val="00B37C6A"/>
    <w:rsid w:val="00B41B81"/>
    <w:rsid w:val="00B43F7F"/>
    <w:rsid w:val="00B51E2E"/>
    <w:rsid w:val="00B71C13"/>
    <w:rsid w:val="00B73C9D"/>
    <w:rsid w:val="00B93E52"/>
    <w:rsid w:val="00B97C5D"/>
    <w:rsid w:val="00BB0E61"/>
    <w:rsid w:val="00BB4071"/>
    <w:rsid w:val="00BD0BBB"/>
    <w:rsid w:val="00BE72B6"/>
    <w:rsid w:val="00BF1596"/>
    <w:rsid w:val="00C0313C"/>
    <w:rsid w:val="00C40FC6"/>
    <w:rsid w:val="00C42869"/>
    <w:rsid w:val="00C5466C"/>
    <w:rsid w:val="00C55438"/>
    <w:rsid w:val="00C82AF0"/>
    <w:rsid w:val="00C91F16"/>
    <w:rsid w:val="00CB1E09"/>
    <w:rsid w:val="00CC3978"/>
    <w:rsid w:val="00CC758E"/>
    <w:rsid w:val="00CC7A3B"/>
    <w:rsid w:val="00CE0B5F"/>
    <w:rsid w:val="00CE24C8"/>
    <w:rsid w:val="00CE73FF"/>
    <w:rsid w:val="00CF11C1"/>
    <w:rsid w:val="00CF5818"/>
    <w:rsid w:val="00D14A0D"/>
    <w:rsid w:val="00D26611"/>
    <w:rsid w:val="00D3749C"/>
    <w:rsid w:val="00D40C17"/>
    <w:rsid w:val="00D4382C"/>
    <w:rsid w:val="00D44771"/>
    <w:rsid w:val="00D61B4D"/>
    <w:rsid w:val="00D85E94"/>
    <w:rsid w:val="00D92C6B"/>
    <w:rsid w:val="00D92EBB"/>
    <w:rsid w:val="00D96E8F"/>
    <w:rsid w:val="00DA0BE6"/>
    <w:rsid w:val="00DA239F"/>
    <w:rsid w:val="00DB69FA"/>
    <w:rsid w:val="00DE7BDF"/>
    <w:rsid w:val="00DF418F"/>
    <w:rsid w:val="00E02640"/>
    <w:rsid w:val="00E04D66"/>
    <w:rsid w:val="00E1188D"/>
    <w:rsid w:val="00E22C1C"/>
    <w:rsid w:val="00E257D2"/>
    <w:rsid w:val="00E3162B"/>
    <w:rsid w:val="00E4283B"/>
    <w:rsid w:val="00E77548"/>
    <w:rsid w:val="00EA5B58"/>
    <w:rsid w:val="00EC6E3F"/>
    <w:rsid w:val="00ED355D"/>
    <w:rsid w:val="00EF066D"/>
    <w:rsid w:val="00F13096"/>
    <w:rsid w:val="00F24BA4"/>
    <w:rsid w:val="00F24F8B"/>
    <w:rsid w:val="00F556DC"/>
    <w:rsid w:val="00F56412"/>
    <w:rsid w:val="00F77F8C"/>
    <w:rsid w:val="00F828B6"/>
    <w:rsid w:val="00F8341B"/>
    <w:rsid w:val="00F93AFF"/>
    <w:rsid w:val="00FA61E1"/>
    <w:rsid w:val="00FB7989"/>
    <w:rsid w:val="00FC18B7"/>
    <w:rsid w:val="00FD56A9"/>
    <w:rsid w:val="00FD6214"/>
    <w:rsid w:val="00FE13F1"/>
    <w:rsid w:val="00FE4B91"/>
    <w:rsid w:val="00FF26A7"/>
    <w:rsid w:val="00FF7C90"/>
    <w:rsid w:val="09467BF5"/>
    <w:rsid w:val="179E3F88"/>
    <w:rsid w:val="35941175"/>
    <w:rsid w:val="4E3B37F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eastAsia="宋体" w:asciiTheme="minorHAnsi" w:hAnsiTheme="minorHAnsi" w:cstheme="minorBidi"/>
      <w:kern w:val="2"/>
      <w:sz w:val="21"/>
      <w:szCs w:val="20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autoRedefine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eastAsiaTheme="minorEastAsia"/>
      <w:sz w:val="18"/>
      <w:szCs w:val="18"/>
    </w:rPr>
  </w:style>
  <w:style w:type="paragraph" w:styleId="4">
    <w:name w:val="header"/>
    <w:basedOn w:val="1"/>
    <w:link w:val="7"/>
    <w:autoRedefine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Theme="minorEastAsia"/>
      <w:sz w:val="18"/>
      <w:szCs w:val="18"/>
    </w:rPr>
  </w:style>
  <w:style w:type="character" w:customStyle="1" w:styleId="7">
    <w:name w:val="页眉 字符"/>
    <w:basedOn w:val="6"/>
    <w:link w:val="4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autoRedefine/>
    <w:qFormat/>
    <w:uiPriority w:val="99"/>
    <w:rPr>
      <w:sz w:val="18"/>
      <w:szCs w:val="18"/>
    </w:rPr>
  </w:style>
  <w:style w:type="paragraph" w:styleId="9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0">
    <w:name w:val="批注框文本 字符"/>
    <w:basedOn w:val="6"/>
    <w:link w:val="2"/>
    <w:autoRedefine/>
    <w:semiHidden/>
    <w:qFormat/>
    <w:uiPriority w:val="99"/>
    <w:rPr>
      <w:rFonts w:eastAsia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137</Words>
  <Characters>784</Characters>
  <Lines>6</Lines>
  <Paragraphs>1</Paragraphs>
  <TotalTime>17</TotalTime>
  <ScaleCrop>false</ScaleCrop>
  <LinksUpToDate>false</LinksUpToDate>
  <CharactersWithSpaces>920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2021-06-04T00:48:00Z</dcterms:created>
  <dc:creator>50218310</dc:creator>
  <cp:lastModifiedBy>WPS_1669601807</cp:lastModifiedBy>
  <dcterms:modified xsi:type="dcterms:W3CDTF">2024-04-24T09:21:55Z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9D34A42CE5094E44856964C4FE7DD2A9_13</vt:lpwstr>
  </property>
</Properties>
</file>