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FC4D4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诊室边柜技术参数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902" w:tblpY="684"/>
        <w:tblOverlap w:val="never"/>
        <w:tblW w:w="52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255"/>
        <w:gridCol w:w="6239"/>
      </w:tblGrid>
      <w:tr w14:paraId="7BBA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  <w:vAlign w:val="center"/>
          </w:tcPr>
          <w:p w14:paraId="791577E2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1584" w:type="pct"/>
            <w:vAlign w:val="center"/>
          </w:tcPr>
          <w:p w14:paraId="17DE0372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图片</w:t>
            </w:r>
          </w:p>
        </w:tc>
        <w:tc>
          <w:tcPr>
            <w:tcW w:w="3036" w:type="pct"/>
            <w:vAlign w:val="center"/>
          </w:tcPr>
          <w:p w14:paraId="3E53B31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技术参数</w:t>
            </w:r>
          </w:p>
        </w:tc>
      </w:tr>
      <w:tr w14:paraId="3A305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  <w:vAlign w:val="center"/>
          </w:tcPr>
          <w:p w14:paraId="25641624"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诊室边柜</w:t>
            </w:r>
          </w:p>
        </w:tc>
        <w:tc>
          <w:tcPr>
            <w:tcW w:w="1584" w:type="pct"/>
            <w:vAlign w:val="center"/>
          </w:tcPr>
          <w:p w14:paraId="234F4E8D">
            <w:pPr>
              <w:spacing w:line="360" w:lineRule="auto"/>
              <w:jc w:val="both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kern w:val="0"/>
                <w:szCs w:val="21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-1259840</wp:posOffset>
                  </wp:positionV>
                  <wp:extent cx="1617980" cy="1019175"/>
                  <wp:effectExtent l="0" t="0" r="1270" b="9525"/>
                  <wp:wrapNone/>
                  <wp:docPr id="1" name="图片 1" descr="C:\Users\ADMINI~1\AppData\Local\Temp\WeChat Files\25f0e17b6af73bcb56977cadc07926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~1\AppData\Local\Temp\WeChat Files\25f0e17b6af73bcb56977cadc07926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98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长：2500mm宽：500mm高：850mm</w:t>
            </w:r>
          </w:p>
          <w:p w14:paraId="2EDC99B0">
            <w:pPr>
              <w:spacing w:line="360" w:lineRule="auto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drawing>
                <wp:inline distT="0" distB="0" distL="0" distR="0">
                  <wp:extent cx="1292225" cy="1173480"/>
                  <wp:effectExtent l="0" t="0" r="3175" b="7620"/>
                  <wp:docPr id="2" name="图片 2" descr="G:\1\技术参数\技术参数2022.9.16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G:\1\技术参数\技术参数2022.9.16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225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5366B0">
            <w:pPr>
              <w:spacing w:line="360" w:lineRule="auto"/>
              <w:ind w:firstLine="840" w:firstLineChars="400"/>
              <w:jc w:val="both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移动柜</w:t>
            </w:r>
          </w:p>
        </w:tc>
        <w:tc>
          <w:tcPr>
            <w:tcW w:w="3036" w:type="pct"/>
            <w:vAlign w:val="center"/>
          </w:tcPr>
          <w:p w14:paraId="25DDB447">
            <w:pPr>
              <w:spacing w:line="360" w:lineRule="auto"/>
              <w:jc w:val="left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b/>
                <w:szCs w:val="21"/>
              </w:rPr>
              <w:t>1.主体</w:t>
            </w:r>
            <w:r>
              <w:rPr>
                <w:rFonts w:hint="eastAsia" w:cs="微软雅黑" w:asciiTheme="minorEastAsia" w:hAnsiTheme="minorEastAsia"/>
                <w:szCs w:val="21"/>
              </w:rPr>
              <w:t>：</w:t>
            </w:r>
          </w:p>
          <w:p w14:paraId="0E6D4D6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（1）柜体采用电解镀锌钢板为框架结构，钢板厚度≥1.0mm,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内置活动层板，层板高度可根据院方需求和摆放器具大小设置。主体框架另加承重钢板及内衬结构，保证足够的承重强度，低噪音，表面防锈、防酸、防碱、防静电、耐腐蚀，抗老化。框架结构设计可按照临床需求进行多种组合。</w:t>
            </w:r>
          </w:p>
          <w:p w14:paraId="79C4190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（2）柜体下方的踢脚板和柜体为一体，耐腐蚀调节脚。</w:t>
            </w:r>
          </w:p>
          <w:p w14:paraId="66981C4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（3）表面经喷塑处理，可按照临床需求进行调色。</w:t>
            </w:r>
          </w:p>
          <w:p w14:paraId="105174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4）粉末涂料中，铅≤1000mg/kg、镉≤100mg/kg、汞≤1000mg/kg、六价铬≤1000mg/kg、多溴联苯总和≤1000mg/kg、多溴二苯醚总和≤1000mg/kg、邻苯二甲酸二（2-乙基）己酯≤1000mg/kg，邻苯二甲酸丁基苄基酯≤1000mg/kg、邻苯二甲酸二丁酯≤1000mg/kg、邻苯二甲酸二异丁酯≤1000mg/kg。</w:t>
            </w:r>
          </w:p>
          <w:p w14:paraId="1311EA8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（5）抽屉下垂度≤20 mm，抽屉摆动度≤15 mm，底脚与水平面的差值≤2.0 mm，所有分缝（非设计要求时）≤2.0 mm；金属喷漆涂层硬度≥H。</w:t>
            </w:r>
          </w:p>
          <w:p w14:paraId="359E730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hint="eastAsia" w:asciiTheme="minorEastAsia" w:hAnsiTheme="minorEastAsia"/>
                <w:szCs w:val="21"/>
              </w:rPr>
              <w:t>）边柜的顶底板持续加载650kg,2h。</w:t>
            </w:r>
          </w:p>
          <w:p w14:paraId="241FD42F">
            <w:pPr>
              <w:spacing w:line="360" w:lineRule="auto"/>
              <w:jc w:val="left"/>
              <w:rPr>
                <w:rFonts w:cs="微软雅黑" w:asciiTheme="minorEastAsia" w:hAnsiTheme="minorEastAsia"/>
                <w:b/>
                <w:szCs w:val="21"/>
              </w:rPr>
            </w:pPr>
            <w:r>
              <w:rPr>
                <w:rFonts w:hint="eastAsia" w:cs="微软雅黑" w:asciiTheme="minorEastAsia" w:hAnsiTheme="minorEastAsia"/>
                <w:b/>
                <w:szCs w:val="21"/>
              </w:rPr>
              <w:t>2.台面：</w:t>
            </w:r>
          </w:p>
          <w:p w14:paraId="7EDFFBB2"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（1）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选用基材为人造大理石，表面为封闭胶衣树脂仿瓷处理。</w:t>
            </w:r>
          </w:p>
          <w:p w14:paraId="15C69571">
            <w:pPr>
              <w:spacing w:line="360" w:lineRule="auto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（2）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胶衣树脂表面</w:t>
            </w:r>
            <w:r>
              <w:rPr>
                <w:rFonts w:hint="eastAsia" w:ascii="宋体" w:hAnsi="宋体" w:eastAsia="宋体" w:cs="宋体"/>
                <w:szCs w:val="21"/>
              </w:rPr>
              <w:t>的耐磨性≤0.6g、耐污染值总和≤64，最大污迹深度≤0.12mm。</w:t>
            </w:r>
          </w:p>
          <w:p w14:paraId="67014F57"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胶衣树脂表面</w:t>
            </w:r>
            <w:r>
              <w:rPr>
                <w:rFonts w:hint="eastAsia" w:ascii="宋体" w:hAnsi="宋体" w:eastAsia="宋体" w:cs="宋体"/>
                <w:szCs w:val="21"/>
              </w:rPr>
              <w:t>的大肠杆菌抗菌率≥95%、金黄色葡萄球菌抗菌率≥95%、白色念珠菌抗菌率≥95%。</w:t>
            </w:r>
          </w:p>
          <w:p w14:paraId="59917A5A">
            <w:pPr>
              <w:spacing w:line="360" w:lineRule="auto"/>
              <w:jc w:val="left"/>
              <w:rPr>
                <w:rFonts w:cs="微软雅黑" w:asciiTheme="minorEastAsia" w:hAnsiTheme="minorEastAsia"/>
                <w:b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4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）</w:t>
            </w:r>
            <w:r>
              <w:rPr>
                <w:rFonts w:hint="eastAsia" w:cs="宋体" w:asciiTheme="minorEastAsia" w:hAnsiTheme="minorEastAsia"/>
                <w:szCs w:val="21"/>
              </w:rPr>
              <w:t>台面需设计有40mm后挡水，为保证台面的牢固性和平整度，台面下方增加两条宽40mm，厚5mm的加强筋，与台面齐长，</w:t>
            </w:r>
            <w:r>
              <w:rPr>
                <w:rFonts w:hint="eastAsia" w:asciiTheme="minorEastAsia" w:hAnsiTheme="minorEastAsia"/>
                <w:szCs w:val="21"/>
              </w:rPr>
              <w:t>台面整体厚度是12mm，前沿下挂28mm，为防止洗手水溅出后外流污染台面，设计为沉降式水池，沉降区规格为：长665mm宽440mm高1mm，洗手盆规格为长430mm宽305mm。</w:t>
            </w:r>
            <w:r>
              <w:rPr>
                <w:rFonts w:hint="eastAsia" w:cs="宋体" w:asciiTheme="minorEastAsia" w:hAnsiTheme="minorEastAsia"/>
                <w:szCs w:val="21"/>
              </w:rPr>
              <w:t>边缘加厚并作弧形处理</w:t>
            </w:r>
            <w:r>
              <w:rPr>
                <w:rFonts w:cs="宋体" w:asciiTheme="minorEastAsia" w:hAnsiTheme="minorEastAsia"/>
                <w:szCs w:val="21"/>
              </w:rPr>
              <w:t>,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水槽和胶衣树脂为一体成型台面</w:t>
            </w:r>
            <w:r>
              <w:rPr>
                <w:rFonts w:hint="eastAsia" w:cs="宋体" w:asciiTheme="minorEastAsia" w:hAnsiTheme="minorEastAsia"/>
                <w:szCs w:val="21"/>
              </w:rPr>
              <w:t>，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无接缝，具备防渗透着色功能，</w:t>
            </w:r>
            <w:r>
              <w:rPr>
                <w:rFonts w:hint="eastAsia" w:cs="宋体" w:asciiTheme="minorEastAsia" w:hAnsiTheme="minorEastAsia"/>
                <w:szCs w:val="21"/>
              </w:rPr>
              <w:t>方便表面清洁。</w:t>
            </w:r>
          </w:p>
          <w:p w14:paraId="075BDDC7">
            <w:pPr>
              <w:spacing w:line="360" w:lineRule="auto"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微软雅黑" w:asciiTheme="minorEastAsia" w:hAnsiTheme="minorEastAsia"/>
                <w:b/>
                <w:szCs w:val="21"/>
              </w:rPr>
              <w:t>3.</w:t>
            </w:r>
            <w:r>
              <w:rPr>
                <w:rFonts w:cs="Times New Roman" w:asciiTheme="minorEastAsia" w:hAnsiTheme="minorEastAsia"/>
                <w:b/>
                <w:szCs w:val="21"/>
              </w:rPr>
              <w:t>抽屉轨道</w:t>
            </w:r>
          </w:p>
          <w:p w14:paraId="33EA40E8">
            <w:pPr>
              <w:spacing w:line="360" w:lineRule="auto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（1）</w:t>
            </w:r>
            <w:r>
              <w:rPr>
                <w:rFonts w:hint="eastAsia" w:ascii="宋体" w:hAnsi="宋体" w:eastAsia="宋体" w:cs="Times New Roman"/>
                <w:szCs w:val="21"/>
              </w:rPr>
              <w:t>选用带阻尼三级托底轨道，具有隐藏式、静音、</w:t>
            </w:r>
            <w:r>
              <w:rPr>
                <w:rFonts w:hint="eastAsia" w:ascii="宋体" w:hAnsi="宋体" w:eastAsia="宋体"/>
                <w:szCs w:val="21"/>
              </w:rPr>
              <w:t>自动</w:t>
            </w:r>
            <w:r>
              <w:rPr>
                <w:rFonts w:hint="eastAsia" w:ascii="宋体" w:hAnsi="宋体" w:eastAsia="宋体" w:cs="Times New Roman"/>
                <w:szCs w:val="21"/>
              </w:rPr>
              <w:t>复位功能。</w:t>
            </w:r>
          </w:p>
          <w:p w14:paraId="48303AD8">
            <w:pPr>
              <w:spacing w:line="360" w:lineRule="auto"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（2）可自由开合</w:t>
            </w:r>
            <w:r>
              <w:rPr>
                <w:rFonts w:hint="eastAsia" w:cs="宋体" w:asciiTheme="minorEastAsia" w:hAnsiTheme="minorEastAsia"/>
                <w:szCs w:val="21"/>
              </w:rPr>
              <w:t>≥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cs="Times New Roman" w:asciiTheme="minorEastAsia" w:hAnsiTheme="minorEastAsia"/>
                <w:szCs w:val="21"/>
              </w:rPr>
              <w:t>万次</w:t>
            </w: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。</w:t>
            </w:r>
            <w:r>
              <w:rPr>
                <w:rFonts w:hint="eastAsia" w:cs="Times New Roman" w:asciiTheme="minorEastAsia" w:hAnsiTheme="minorEastAsia"/>
                <w:szCs w:val="21"/>
              </w:rPr>
              <w:t>耐久性测试次数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cs="Times New Roman" w:asciiTheme="minorEastAsia" w:hAnsiTheme="minorEastAsia"/>
                <w:szCs w:val="21"/>
              </w:rPr>
              <w:t>万次时，所有组件或连接件不应断裂损坏，通过手触压证实，用于紧固的组件不应松动，所有零部件不应有影响正常运作的变形或磨损，五金连接件不应松动，所有组件的功能不应损害，抽屉导轨及其组件应能正常工作。</w:t>
            </w:r>
          </w:p>
          <w:p w14:paraId="750C24FC">
            <w:pPr>
              <w:spacing w:line="360" w:lineRule="auto"/>
              <w:jc w:val="left"/>
              <w:rPr>
                <w:rFonts w:cs="宋体" w:asciiTheme="minorEastAsia" w:hAnsiTheme="minorEastAsia"/>
                <w:b/>
                <w:szCs w:val="21"/>
              </w:rPr>
            </w:pPr>
            <w:r>
              <w:rPr>
                <w:rFonts w:hint="eastAsia" w:cs="微软雅黑" w:asciiTheme="minorEastAsia" w:hAnsiTheme="minorEastAsia"/>
                <w:b/>
                <w:szCs w:val="21"/>
              </w:rPr>
              <w:t>4.</w:t>
            </w:r>
            <w:r>
              <w:rPr>
                <w:rFonts w:hint="eastAsia" w:cs="宋体" w:asciiTheme="minorEastAsia" w:hAnsiTheme="minorEastAsia"/>
                <w:b/>
                <w:szCs w:val="21"/>
              </w:rPr>
              <w:t>铰链开关</w:t>
            </w:r>
          </w:p>
          <w:p w14:paraId="7C374D07">
            <w:pPr>
              <w:spacing w:line="360" w:lineRule="auto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（1）</w:t>
            </w:r>
            <w:r>
              <w:rPr>
                <w:rFonts w:hint="eastAsia" w:asciiTheme="minorEastAsia" w:hAnsiTheme="minorEastAsia"/>
                <w:szCs w:val="21"/>
              </w:rPr>
              <w:t>选用SUS304抛光不锈钢材质，永不生锈。铰链与柜体面水平角度＜15°时，柜门即可自行关闭，阻尼闭合，无碰撞。开启角度大于110°，附防滑落安全装置</w:t>
            </w:r>
            <w:r>
              <w:rPr>
                <w:rFonts w:hint="eastAsia" w:cs="宋体" w:asciiTheme="minorEastAsia" w:hAnsiTheme="minorEastAsia"/>
                <w:szCs w:val="21"/>
              </w:rPr>
              <w:t>。</w:t>
            </w:r>
          </w:p>
          <w:p w14:paraId="71590AD9">
            <w:pPr>
              <w:spacing w:line="360" w:lineRule="auto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</w:t>
            </w:r>
            <w:r>
              <w:rPr>
                <w:rFonts w:hint="eastAsia" w:cs="宋体" w:asciiTheme="minorEastAsia" w:hAnsiTheme="minorEastAsia"/>
                <w:szCs w:val="21"/>
              </w:rPr>
              <w:t>2</w:t>
            </w:r>
            <w:r>
              <w:rPr>
                <w:rFonts w:cs="宋体" w:asciiTheme="minorEastAsia" w:hAnsiTheme="minorEastAsia"/>
                <w:szCs w:val="21"/>
              </w:rPr>
              <w:t>）</w:t>
            </w:r>
            <w:r>
              <w:rPr>
                <w:rFonts w:hint="eastAsia" w:cs="宋体" w:asciiTheme="minorEastAsia" w:hAnsiTheme="minorEastAsia"/>
                <w:szCs w:val="21"/>
              </w:rPr>
              <w:t>耐久性测试次数≥5万次，耐久性测试次数为5万次时，所有组件或结合处不应断裂损坏，通过手触压证实，用于紧固的组件不应松动，所有组件不应有影响正常运作的变形或磨损，固定组件不应松动，所有组件的功能不应损害，杯状暗铰链及其组件应能正常工作。</w:t>
            </w:r>
          </w:p>
          <w:p w14:paraId="5B1B53A4">
            <w:pPr>
              <w:spacing w:line="360" w:lineRule="auto"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5.</w:t>
            </w:r>
            <w:r>
              <w:rPr>
                <w:rFonts w:cs="Times New Roman" w:asciiTheme="minorEastAsia" w:hAnsiTheme="minorEastAsia"/>
                <w:b/>
                <w:szCs w:val="21"/>
              </w:rPr>
              <w:t>抽屉搁盘：</w:t>
            </w:r>
            <w:r>
              <w:rPr>
                <w:rFonts w:hint="eastAsia" w:cs="Times New Roman" w:asciiTheme="minorEastAsia" w:hAnsiTheme="minorEastAsia"/>
                <w:szCs w:val="21"/>
              </w:rPr>
              <w:t>考虑到口腔科各科室材料规格不一、尺寸各异的特点，并且</w:t>
            </w:r>
            <w:r>
              <w:rPr>
                <w:rFonts w:hint="eastAsia" w:asciiTheme="minorEastAsia" w:hAnsiTheme="minorEastAsia"/>
                <w:szCs w:val="21"/>
              </w:rPr>
              <w:t>根据临床专业的要求，分隔盘中插排可任意调整，满足正畸科和修复科、牙体牙髓科、外科、牙周科、VIP等各科室的专用器具摆放要求，并可取出清洗和消毒。</w:t>
            </w:r>
            <w:r>
              <w:rPr>
                <w:rFonts w:hint="eastAsia" w:cs="Times New Roman" w:asciiTheme="minorEastAsia" w:hAnsiTheme="minorEastAsia"/>
                <w:szCs w:val="21"/>
              </w:rPr>
              <w:t>采用ABS板材，</w:t>
            </w:r>
            <w:r>
              <w:rPr>
                <w:rFonts w:hint="eastAsia" w:asciiTheme="minorEastAsia" w:hAnsiTheme="minorEastAsia"/>
                <w:szCs w:val="21"/>
              </w:rPr>
              <w:t>提供多种</w:t>
            </w:r>
            <w:r>
              <w:rPr>
                <w:rFonts w:hint="eastAsia" w:cs="Times New Roman" w:asciiTheme="minorEastAsia" w:hAnsiTheme="minorEastAsia"/>
                <w:szCs w:val="21"/>
              </w:rPr>
              <w:t>规格</w:t>
            </w:r>
            <w:r>
              <w:rPr>
                <w:rFonts w:hint="eastAsia" w:asciiTheme="minorEastAsia" w:hAnsiTheme="minorEastAsia"/>
                <w:szCs w:val="21"/>
              </w:rPr>
              <w:t>可供选择。</w:t>
            </w:r>
          </w:p>
          <w:p w14:paraId="3FE3E02C">
            <w:pPr>
              <w:spacing w:line="360" w:lineRule="auto"/>
              <w:jc w:val="left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6.洗手及用水设施</w:t>
            </w:r>
          </w:p>
          <w:p w14:paraId="7B2E0D06">
            <w:pPr>
              <w:spacing w:line="360" w:lineRule="auto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（1）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出水口</w:t>
            </w:r>
            <w:r>
              <w:rPr>
                <w:rFonts w:hint="eastAsia" w:cs="宋体" w:asciiTheme="minorEastAsia" w:hAnsiTheme="minorEastAsia"/>
                <w:szCs w:val="21"/>
              </w:rPr>
              <w:t>选用全铜品牌水龙头（可肘开设计），水龙头表面采用镀铬处理。</w:t>
            </w:r>
          </w:p>
          <w:p w14:paraId="7AFE63D7">
            <w:pPr>
              <w:spacing w:line="360" w:lineRule="auto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（2）水嘴（节水型）的流量在3.0≤Q≤7.5L/min,表面耐腐蚀性能≥9级。</w:t>
            </w:r>
          </w:p>
          <w:p w14:paraId="7DDE823C">
            <w:pPr>
              <w:spacing w:line="360" w:lineRule="auto"/>
              <w:jc w:val="left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（3）电子脚控式出水（满足院感要求），脚控装置采用DELIXI双控2个独立电磁阀，可热水与冷水交换出水，可根据牙科印模材需要的水量大小来调试。</w:t>
            </w:r>
          </w:p>
          <w:p w14:paraId="05AF9E5A">
            <w:pPr>
              <w:spacing w:line="360" w:lineRule="auto"/>
              <w:jc w:val="left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7.生活垃圾桶：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隐蔽于洗手盆下方，垃圾桶尺寸大小与水池柜内径大小一致，垃圾桶柜门关闭的同时，盖板关闭，避免垃圾掉落至垃圾桶外，难于清理，投放口采用脚控失电开关，斜开式开门，无易损配件，使用寿命更长。操作方便，避免二次污染,合页采用滚珠合页，可自由开合1万次以上，气撑采用液压缓冲气撑，内配生活垃圾桶。</w:t>
            </w:r>
          </w:p>
          <w:p w14:paraId="3C2CA481">
            <w:pPr>
              <w:spacing w:line="360" w:lineRule="auto"/>
              <w:jc w:val="left"/>
              <w:rPr>
                <w:rFonts w:cs="微软雅黑" w:asciiTheme="minorEastAsia" w:hAnsiTheme="minorEastAsia"/>
                <w:b/>
                <w:szCs w:val="21"/>
              </w:rPr>
            </w:pPr>
            <w:r>
              <w:rPr>
                <w:rFonts w:hint="eastAsia" w:cs="微软雅黑" w:asciiTheme="minorEastAsia" w:hAnsiTheme="minorEastAsia"/>
                <w:b/>
                <w:szCs w:val="21"/>
              </w:rPr>
              <w:t>8.拉手：</w:t>
            </w:r>
            <w:r>
              <w:rPr>
                <w:rFonts w:hint="eastAsia" w:cs="微软雅黑" w:asciiTheme="minorEastAsia" w:hAnsiTheme="minorEastAsia"/>
                <w:szCs w:val="21"/>
              </w:rPr>
              <w:t>拉手为欧式氧化铝材质，可提供多种把手颜色作为用户的个性化选择。</w:t>
            </w:r>
          </w:p>
        </w:tc>
      </w:tr>
    </w:tbl>
    <w:p w14:paraId="41E6AD3D">
      <w:pPr>
        <w:spacing w:line="360" w:lineRule="auto"/>
        <w:rPr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xZjIwODg2MTEwNGExMTY2YmY2ZTQ5NWNlYjE2NTgifQ=="/>
  </w:docVars>
  <w:rsids>
    <w:rsidRoot w:val="00EA2F09"/>
    <w:rsid w:val="000079EC"/>
    <w:rsid w:val="0001477C"/>
    <w:rsid w:val="00036316"/>
    <w:rsid w:val="00037984"/>
    <w:rsid w:val="00062162"/>
    <w:rsid w:val="000642E6"/>
    <w:rsid w:val="000912BB"/>
    <w:rsid w:val="000A3EC3"/>
    <w:rsid w:val="000B2187"/>
    <w:rsid w:val="000B71DE"/>
    <w:rsid w:val="000C44CC"/>
    <w:rsid w:val="000E4E72"/>
    <w:rsid w:val="000F4F95"/>
    <w:rsid w:val="0010009D"/>
    <w:rsid w:val="001267B4"/>
    <w:rsid w:val="00131511"/>
    <w:rsid w:val="00132A03"/>
    <w:rsid w:val="001356FF"/>
    <w:rsid w:val="001441AE"/>
    <w:rsid w:val="00165958"/>
    <w:rsid w:val="0017749B"/>
    <w:rsid w:val="00186620"/>
    <w:rsid w:val="00192977"/>
    <w:rsid w:val="001B4FAE"/>
    <w:rsid w:val="001D18F8"/>
    <w:rsid w:val="001D79BA"/>
    <w:rsid w:val="0021149F"/>
    <w:rsid w:val="00235589"/>
    <w:rsid w:val="00252DDD"/>
    <w:rsid w:val="00256C5F"/>
    <w:rsid w:val="00267458"/>
    <w:rsid w:val="00275AC4"/>
    <w:rsid w:val="00296EFC"/>
    <w:rsid w:val="002A5633"/>
    <w:rsid w:val="002A6F4E"/>
    <w:rsid w:val="002B478E"/>
    <w:rsid w:val="002C0E03"/>
    <w:rsid w:val="002C37AD"/>
    <w:rsid w:val="002C5DF9"/>
    <w:rsid w:val="002D7D7B"/>
    <w:rsid w:val="002F48DB"/>
    <w:rsid w:val="0030300C"/>
    <w:rsid w:val="003133B2"/>
    <w:rsid w:val="00314302"/>
    <w:rsid w:val="00324945"/>
    <w:rsid w:val="00335C2C"/>
    <w:rsid w:val="00343B4D"/>
    <w:rsid w:val="003474BD"/>
    <w:rsid w:val="0035474E"/>
    <w:rsid w:val="00377DE3"/>
    <w:rsid w:val="00392AB9"/>
    <w:rsid w:val="0039393D"/>
    <w:rsid w:val="003A5B87"/>
    <w:rsid w:val="003A681F"/>
    <w:rsid w:val="003C39EA"/>
    <w:rsid w:val="003E5E58"/>
    <w:rsid w:val="003E6A9B"/>
    <w:rsid w:val="00416F3D"/>
    <w:rsid w:val="00437DF9"/>
    <w:rsid w:val="00441D82"/>
    <w:rsid w:val="00442924"/>
    <w:rsid w:val="00457D53"/>
    <w:rsid w:val="00467C0B"/>
    <w:rsid w:val="00475223"/>
    <w:rsid w:val="004777A0"/>
    <w:rsid w:val="004836FD"/>
    <w:rsid w:val="00483741"/>
    <w:rsid w:val="004E242F"/>
    <w:rsid w:val="004E6603"/>
    <w:rsid w:val="0050012D"/>
    <w:rsid w:val="005460A4"/>
    <w:rsid w:val="00560D5F"/>
    <w:rsid w:val="005652A0"/>
    <w:rsid w:val="00580DE1"/>
    <w:rsid w:val="0058486A"/>
    <w:rsid w:val="005874EE"/>
    <w:rsid w:val="005B62ED"/>
    <w:rsid w:val="005C7F0A"/>
    <w:rsid w:val="005E19C4"/>
    <w:rsid w:val="005E7827"/>
    <w:rsid w:val="005F567A"/>
    <w:rsid w:val="005F5939"/>
    <w:rsid w:val="00602748"/>
    <w:rsid w:val="006335E3"/>
    <w:rsid w:val="006652E8"/>
    <w:rsid w:val="00690452"/>
    <w:rsid w:val="00696D6A"/>
    <w:rsid w:val="006A3948"/>
    <w:rsid w:val="006D5BC9"/>
    <w:rsid w:val="006E7517"/>
    <w:rsid w:val="00727E20"/>
    <w:rsid w:val="00740046"/>
    <w:rsid w:val="00742BAE"/>
    <w:rsid w:val="00750BA5"/>
    <w:rsid w:val="007532A8"/>
    <w:rsid w:val="007625C9"/>
    <w:rsid w:val="00766D8D"/>
    <w:rsid w:val="00780951"/>
    <w:rsid w:val="007818A1"/>
    <w:rsid w:val="007B1E31"/>
    <w:rsid w:val="007B5459"/>
    <w:rsid w:val="007B67E3"/>
    <w:rsid w:val="007C3017"/>
    <w:rsid w:val="007C4997"/>
    <w:rsid w:val="007C7A0B"/>
    <w:rsid w:val="007D0EA7"/>
    <w:rsid w:val="007E17AE"/>
    <w:rsid w:val="00801344"/>
    <w:rsid w:val="00807CFD"/>
    <w:rsid w:val="00813719"/>
    <w:rsid w:val="008208D8"/>
    <w:rsid w:val="0082773A"/>
    <w:rsid w:val="00844D28"/>
    <w:rsid w:val="008461C0"/>
    <w:rsid w:val="00864B01"/>
    <w:rsid w:val="00876003"/>
    <w:rsid w:val="008919E6"/>
    <w:rsid w:val="008951CB"/>
    <w:rsid w:val="008953F9"/>
    <w:rsid w:val="008A7E0C"/>
    <w:rsid w:val="008B4AB3"/>
    <w:rsid w:val="008B6896"/>
    <w:rsid w:val="008C63BD"/>
    <w:rsid w:val="008E3415"/>
    <w:rsid w:val="008E4ADB"/>
    <w:rsid w:val="008F463A"/>
    <w:rsid w:val="008F6179"/>
    <w:rsid w:val="0091277D"/>
    <w:rsid w:val="00920DB2"/>
    <w:rsid w:val="00954D5B"/>
    <w:rsid w:val="00963E59"/>
    <w:rsid w:val="0097044E"/>
    <w:rsid w:val="0099795E"/>
    <w:rsid w:val="009A029B"/>
    <w:rsid w:val="009A6689"/>
    <w:rsid w:val="009B5CA2"/>
    <w:rsid w:val="009C187C"/>
    <w:rsid w:val="009D6C4D"/>
    <w:rsid w:val="009F2CB4"/>
    <w:rsid w:val="00A269EB"/>
    <w:rsid w:val="00A37BBE"/>
    <w:rsid w:val="00A4785D"/>
    <w:rsid w:val="00A56412"/>
    <w:rsid w:val="00A60213"/>
    <w:rsid w:val="00A63946"/>
    <w:rsid w:val="00A706A3"/>
    <w:rsid w:val="00A97399"/>
    <w:rsid w:val="00AA1800"/>
    <w:rsid w:val="00AB504C"/>
    <w:rsid w:val="00AB6DCF"/>
    <w:rsid w:val="00AD6F81"/>
    <w:rsid w:val="00AE1915"/>
    <w:rsid w:val="00AF4D34"/>
    <w:rsid w:val="00B252A7"/>
    <w:rsid w:val="00B6140B"/>
    <w:rsid w:val="00BD33CF"/>
    <w:rsid w:val="00C20A6E"/>
    <w:rsid w:val="00C325CA"/>
    <w:rsid w:val="00C42116"/>
    <w:rsid w:val="00C45D72"/>
    <w:rsid w:val="00C85E19"/>
    <w:rsid w:val="00CA154A"/>
    <w:rsid w:val="00CE4C97"/>
    <w:rsid w:val="00CE69FA"/>
    <w:rsid w:val="00CF0506"/>
    <w:rsid w:val="00CF5EFA"/>
    <w:rsid w:val="00D12C31"/>
    <w:rsid w:val="00D43678"/>
    <w:rsid w:val="00D53B12"/>
    <w:rsid w:val="00D729DC"/>
    <w:rsid w:val="00D77887"/>
    <w:rsid w:val="00D82B28"/>
    <w:rsid w:val="00D87652"/>
    <w:rsid w:val="00DA297A"/>
    <w:rsid w:val="00DA69B1"/>
    <w:rsid w:val="00DB0CB3"/>
    <w:rsid w:val="00DD0CBC"/>
    <w:rsid w:val="00DD0DD6"/>
    <w:rsid w:val="00DE39D9"/>
    <w:rsid w:val="00DF552D"/>
    <w:rsid w:val="00E31FEE"/>
    <w:rsid w:val="00E53167"/>
    <w:rsid w:val="00E72A95"/>
    <w:rsid w:val="00E76B06"/>
    <w:rsid w:val="00E83CCA"/>
    <w:rsid w:val="00E95817"/>
    <w:rsid w:val="00EA2F09"/>
    <w:rsid w:val="00EB1B91"/>
    <w:rsid w:val="00EB3266"/>
    <w:rsid w:val="00EC1D1E"/>
    <w:rsid w:val="00EC42BC"/>
    <w:rsid w:val="00EC4F03"/>
    <w:rsid w:val="00EF3B05"/>
    <w:rsid w:val="00EF5FB8"/>
    <w:rsid w:val="00EF7364"/>
    <w:rsid w:val="00F00FD0"/>
    <w:rsid w:val="00F01AE6"/>
    <w:rsid w:val="00F11988"/>
    <w:rsid w:val="00F65EB7"/>
    <w:rsid w:val="00F66BD3"/>
    <w:rsid w:val="00FA59D2"/>
    <w:rsid w:val="00FB0E1B"/>
    <w:rsid w:val="00FB71D7"/>
    <w:rsid w:val="12C45440"/>
    <w:rsid w:val="292131F6"/>
    <w:rsid w:val="3AA31333"/>
    <w:rsid w:val="460744D3"/>
    <w:rsid w:val="47DD16DF"/>
    <w:rsid w:val="59AB60A8"/>
    <w:rsid w:val="6034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3</Pages>
  <Words>1471</Words>
  <Characters>1670</Characters>
  <Lines>12</Lines>
  <Paragraphs>3</Paragraphs>
  <TotalTime>4</TotalTime>
  <ScaleCrop>false</ScaleCrop>
  <LinksUpToDate>false</LinksUpToDate>
  <CharactersWithSpaces>1676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2023-05-30T06:11:00Z</dcterms:created>
  <dc:creator>桑三博客</dc:creator>
  <cp:lastModifiedBy>WPS_1669601807</cp:lastModifiedBy>
  <cp:lastPrinted>2021-10-11T07:34:00Z</cp:lastPrinted>
  <dcterms:modified xsi:type="dcterms:W3CDTF">2024-11-20T00:27:20Z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AEE75E922CFA4441A86FB3FC9A37C4E9_13</vt:lpwstr>
  </property>
</Properties>
</file>