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986ED8">
      <w:pPr>
        <w:ind w:firstLine="843" w:firstLineChars="300"/>
        <w:jc w:val="both"/>
        <w:rPr>
          <w:rFonts w:hint="eastAsia" w:ascii="宋体" w:hAnsi="宋体" w:eastAsia="宋体" w:cs="宋体"/>
          <w:b/>
          <w:bCs/>
          <w:color w:val="auto"/>
          <w:spacing w:val="0"/>
          <w:sz w:val="28"/>
          <w:szCs w:val="24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color w:val="auto"/>
          <w:spacing w:val="0"/>
          <w:sz w:val="28"/>
          <w:szCs w:val="24"/>
          <w:lang w:val="en-US" w:eastAsia="zh-CN" w:bidi="zh-CN"/>
        </w:rPr>
        <w:t>天门市第一人民医院污水处理系统在线监测托管运营</w:t>
      </w:r>
    </w:p>
    <w:p w14:paraId="0513F311">
      <w:pPr>
        <w:pStyle w:val="4"/>
        <w:widowControl w:val="0"/>
        <w:numPr>
          <w:numId w:val="0"/>
        </w:numPr>
        <w:autoSpaceDE/>
        <w:autoSpaceDN/>
        <w:adjustRightInd/>
        <w:snapToGrid/>
        <w:spacing w:before="0" w:after="0" w:line="460" w:lineRule="exact"/>
        <w:ind w:leftChars="200" w:right="0" w:rightChars="0"/>
        <w:jc w:val="both"/>
        <w:rPr>
          <w:rFonts w:hint="eastAsia" w:ascii="宋体" w:hAnsi="宋体" w:eastAsia="宋体" w:cs="宋体"/>
          <w:color w:val="auto"/>
          <w:spacing w:val="0"/>
          <w:sz w:val="24"/>
          <w:szCs w:val="22"/>
          <w:lang w:val="en-US" w:eastAsia="zh-CN" w:bidi="zh-CN"/>
        </w:rPr>
      </w:pPr>
    </w:p>
    <w:p w14:paraId="1E1DBB09">
      <w:pPr>
        <w:pStyle w:val="13"/>
        <w:numPr>
          <w:numId w:val="0"/>
        </w:numPr>
        <w:ind w:leftChars="0" w:right="0" w:rightChars="0" w:firstLine="480" w:firstLineChars="200"/>
        <w:rPr>
          <w:rFonts w:hint="eastAsia" w:ascii="宋体" w:hAnsi="宋体" w:eastAsia="宋体" w:cs="宋体"/>
          <w:color w:val="auto"/>
          <w:spacing w:val="0"/>
          <w:sz w:val="24"/>
          <w:szCs w:val="22"/>
          <w:lang w:val="en-US" w:eastAsia="zh-CN" w:bidi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2"/>
          <w:lang w:val="en-US" w:eastAsia="zh-CN" w:bidi="zh-CN"/>
        </w:rPr>
        <w:t>项目</w:t>
      </w:r>
      <w:r>
        <w:rPr>
          <w:rFonts w:hint="eastAsia" w:ascii="宋体" w:hAnsi="宋体" w:eastAsia="宋体" w:cs="宋体"/>
          <w:color w:val="auto"/>
          <w:spacing w:val="0"/>
          <w:sz w:val="24"/>
          <w:szCs w:val="22"/>
          <w:lang w:val="en-US" w:eastAsia="zh-CN" w:bidi="zh-CN"/>
        </w:rPr>
        <w:t>名称</w:t>
      </w:r>
      <w:r>
        <w:rPr>
          <w:rFonts w:hint="eastAsia" w:ascii="宋体" w:hAnsi="宋体" w:eastAsia="宋体" w:cs="宋体"/>
          <w:color w:val="auto"/>
          <w:spacing w:val="0"/>
          <w:sz w:val="24"/>
          <w:szCs w:val="22"/>
          <w:lang w:val="en-US" w:eastAsia="zh-CN" w:bidi="zh-CN"/>
        </w:rPr>
        <w:t>：天门市</w:t>
      </w:r>
      <w:r>
        <w:rPr>
          <w:rFonts w:hint="eastAsia" w:ascii="宋体" w:hAnsi="宋体" w:eastAsia="宋体" w:cs="宋体"/>
          <w:color w:val="auto"/>
          <w:spacing w:val="0"/>
          <w:sz w:val="24"/>
          <w:szCs w:val="22"/>
          <w:lang w:val="en-US" w:eastAsia="zh-CN" w:bidi="zh-CN"/>
        </w:rPr>
        <w:t>第一人民医院污水</w:t>
      </w:r>
      <w:r>
        <w:rPr>
          <w:rFonts w:hint="eastAsia" w:ascii="宋体" w:hAnsi="宋体" w:eastAsia="宋体" w:cs="宋体"/>
          <w:color w:val="auto"/>
          <w:spacing w:val="0"/>
          <w:sz w:val="24"/>
          <w:szCs w:val="22"/>
          <w:lang w:val="en-US" w:eastAsia="zh-CN" w:bidi="zh-CN"/>
        </w:rPr>
        <w:t>处理在线监测系统</w:t>
      </w:r>
      <w:r>
        <w:rPr>
          <w:rFonts w:hint="eastAsia" w:ascii="宋体" w:hAnsi="宋体" w:eastAsia="宋体" w:cs="宋体"/>
          <w:color w:val="auto"/>
          <w:spacing w:val="0"/>
          <w:sz w:val="24"/>
          <w:szCs w:val="22"/>
          <w:lang w:val="en-US" w:eastAsia="zh-CN" w:bidi="zh-CN"/>
        </w:rPr>
        <w:t>托管运营</w:t>
      </w:r>
    </w:p>
    <w:p w14:paraId="395F9624">
      <w:pPr>
        <w:pStyle w:val="4"/>
        <w:widowControl w:val="0"/>
        <w:numPr>
          <w:numId w:val="0"/>
        </w:numPr>
        <w:autoSpaceDE/>
        <w:autoSpaceDN/>
        <w:adjustRightInd/>
        <w:snapToGrid/>
        <w:spacing w:before="0" w:after="0" w:line="460" w:lineRule="exact"/>
        <w:ind w:right="0" w:rightChars="0" w:firstLine="480" w:firstLineChars="200"/>
        <w:jc w:val="both"/>
        <w:rPr>
          <w:rFonts w:hint="eastAsia" w:ascii="宋体" w:hAnsi="宋体" w:eastAsia="宋体" w:cs="宋体"/>
          <w:color w:val="auto"/>
          <w:spacing w:val="0"/>
          <w:sz w:val="24"/>
          <w:szCs w:val="22"/>
          <w:lang w:val="en-US" w:eastAsia="zh-CN" w:bidi="zh-CN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2"/>
          <w:lang w:val="en-US" w:eastAsia="zh-CN" w:bidi="zh-CN"/>
        </w:rPr>
        <w:t>招标范围</w:t>
      </w:r>
      <w:r>
        <w:rPr>
          <w:rFonts w:hint="eastAsia" w:ascii="宋体" w:hAnsi="宋体" w:eastAsia="宋体" w:cs="宋体"/>
          <w:color w:val="auto"/>
          <w:spacing w:val="0"/>
          <w:sz w:val="24"/>
          <w:szCs w:val="22"/>
          <w:lang w:val="en-US" w:eastAsia="zh-CN" w:bidi="zh-CN"/>
        </w:rPr>
        <w:t>：</w:t>
      </w:r>
      <w:r>
        <w:rPr>
          <w:rFonts w:hint="eastAsia" w:ascii="宋体" w:hAnsi="宋体" w:eastAsia="宋体" w:cs="宋体"/>
          <w:color w:val="auto"/>
          <w:spacing w:val="0"/>
          <w:sz w:val="24"/>
          <w:szCs w:val="22"/>
          <w:lang w:val="en-US" w:eastAsia="zh-CN" w:bidi="zh-CN"/>
        </w:rPr>
        <w:t>天门市</w:t>
      </w:r>
      <w:r>
        <w:rPr>
          <w:rFonts w:hint="eastAsia" w:ascii="宋体" w:hAnsi="宋体" w:eastAsia="宋体" w:cs="宋体"/>
          <w:color w:val="auto"/>
          <w:spacing w:val="0"/>
          <w:sz w:val="24"/>
          <w:szCs w:val="22"/>
          <w:lang w:val="en-US" w:eastAsia="zh-CN" w:bidi="zh-CN"/>
        </w:rPr>
        <w:t>第一人民医院污水</w:t>
      </w:r>
      <w:r>
        <w:rPr>
          <w:rFonts w:hint="eastAsia" w:ascii="宋体" w:hAnsi="宋体" w:eastAsia="宋体" w:cs="宋体"/>
          <w:color w:val="auto"/>
          <w:spacing w:val="0"/>
          <w:sz w:val="24"/>
          <w:szCs w:val="22"/>
          <w:lang w:val="en-US" w:eastAsia="zh-CN" w:bidi="zh-CN"/>
        </w:rPr>
        <w:t>处理</w:t>
      </w:r>
      <w:r>
        <w:rPr>
          <w:rFonts w:hint="eastAsia" w:ascii="宋体" w:hAnsi="宋体" w:eastAsia="宋体" w:cs="宋体"/>
          <w:color w:val="auto"/>
          <w:spacing w:val="0"/>
          <w:sz w:val="24"/>
          <w:szCs w:val="22"/>
          <w:lang w:val="en-US" w:eastAsia="zh-CN" w:bidi="zh-CN"/>
        </w:rPr>
        <w:t>系统</w:t>
      </w:r>
      <w:r>
        <w:rPr>
          <w:rFonts w:hint="eastAsia" w:ascii="宋体" w:hAnsi="宋体" w:eastAsia="宋体" w:cs="宋体"/>
          <w:color w:val="auto"/>
          <w:spacing w:val="0"/>
          <w:sz w:val="24"/>
          <w:szCs w:val="22"/>
          <w:lang w:val="en-US" w:eastAsia="zh-CN" w:bidi="zh-CN"/>
        </w:rPr>
        <w:t>在线监测运维</w:t>
      </w:r>
      <w:r>
        <w:rPr>
          <w:rFonts w:hint="eastAsia" w:ascii="宋体" w:hAnsi="宋体" w:eastAsia="宋体" w:cs="宋体"/>
          <w:color w:val="auto"/>
          <w:spacing w:val="0"/>
          <w:sz w:val="24"/>
          <w:szCs w:val="22"/>
          <w:lang w:val="en-US" w:eastAsia="zh-CN" w:bidi="zh-CN"/>
        </w:rPr>
        <w:t>（包含</w:t>
      </w:r>
      <w:r>
        <w:rPr>
          <w:rFonts w:hint="eastAsia" w:ascii="宋体" w:hAnsi="宋体" w:eastAsia="宋体" w:cs="宋体"/>
          <w:color w:val="auto"/>
          <w:spacing w:val="0"/>
          <w:sz w:val="24"/>
          <w:szCs w:val="22"/>
          <w:lang w:val="en-US" w:eastAsia="zh-CN" w:bidi="zh-CN"/>
        </w:rPr>
        <w:t>本部东湖院区、汇侨院区</w:t>
      </w:r>
      <w:r>
        <w:rPr>
          <w:rFonts w:hint="eastAsia" w:ascii="宋体" w:hAnsi="宋体" w:eastAsia="宋体" w:cs="宋体"/>
          <w:color w:val="auto"/>
          <w:spacing w:val="0"/>
          <w:sz w:val="24"/>
          <w:szCs w:val="22"/>
          <w:lang w:val="en-US" w:eastAsia="zh-CN" w:bidi="zh-CN"/>
        </w:rPr>
        <w:t>）运营、维护、管理及托管运营期限满后的移交。</w:t>
      </w:r>
    </w:p>
    <w:p w14:paraId="0A75CD15">
      <w:pPr>
        <w:pStyle w:val="4"/>
        <w:widowControl w:val="0"/>
        <w:numPr>
          <w:numId w:val="0"/>
        </w:numPr>
        <w:autoSpaceDE/>
        <w:autoSpaceDN/>
        <w:adjustRightInd/>
        <w:snapToGrid/>
        <w:spacing w:before="0" w:after="0" w:line="460" w:lineRule="exact"/>
        <w:ind w:leftChars="200" w:right="0" w:rightChars="0"/>
        <w:jc w:val="both"/>
        <w:rPr>
          <w:rFonts w:hint="eastAsia" w:ascii="宋体" w:hAnsi="宋体" w:eastAsia="宋体" w:cs="宋体"/>
          <w:color w:val="auto"/>
          <w:spacing w:val="0"/>
          <w:sz w:val="24"/>
          <w:szCs w:val="22"/>
          <w:lang w:val="en-US" w:eastAsia="zh-CN" w:bidi="zh-CN"/>
        </w:rPr>
      </w:pPr>
      <w:r>
        <w:rPr>
          <w:rFonts w:hint="eastAsia" w:eastAsia="宋体" w:cs="宋体"/>
          <w:color w:val="auto"/>
          <w:spacing w:val="0"/>
          <w:sz w:val="24"/>
          <w:szCs w:val="22"/>
          <w:lang w:val="en-US" w:eastAsia="zh-CN" w:bidi="zh-CN"/>
        </w:rPr>
        <w:t>招标内容</w:t>
      </w:r>
      <w:bookmarkStart w:id="0" w:name="_GoBack"/>
      <w:bookmarkEnd w:id="0"/>
      <w:r>
        <w:rPr>
          <w:rFonts w:hint="eastAsia" w:ascii="宋体" w:hAnsi="宋体" w:eastAsia="宋体" w:cs="宋体"/>
          <w:color w:val="auto"/>
          <w:spacing w:val="0"/>
          <w:sz w:val="24"/>
          <w:szCs w:val="22"/>
          <w:lang w:val="en-US" w:eastAsia="zh-CN" w:bidi="zh-CN"/>
        </w:rPr>
        <w:t>要求：</w:t>
      </w:r>
    </w:p>
    <w:p w14:paraId="35DC265F">
      <w:pPr>
        <w:pStyle w:val="4"/>
        <w:widowControl w:val="0"/>
        <w:numPr>
          <w:ilvl w:val="0"/>
          <w:numId w:val="0"/>
        </w:numPr>
        <w:autoSpaceDE w:val="0"/>
        <w:autoSpaceDN w:val="0"/>
        <w:adjustRightInd w:val="0"/>
        <w:snapToGrid w:val="0"/>
        <w:spacing w:before="0" w:after="0" w:line="460" w:lineRule="exact"/>
        <w:ind w:left="0" w:leftChars="0" w:right="0" w:rightChars="0" w:firstLine="480" w:firstLineChars="200"/>
        <w:jc w:val="both"/>
        <w:rPr>
          <w:rFonts w:hint="eastAsia" w:ascii="宋体" w:hAnsi="宋体" w:eastAsia="宋体" w:cs="宋体"/>
          <w:color w:val="auto"/>
          <w:spacing w:val="0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lang w:val="en-US" w:eastAsia="zh-CN"/>
        </w:rPr>
        <w:t>1</w:t>
      </w:r>
      <w:r>
        <w:rPr>
          <w:rFonts w:hint="eastAsia" w:eastAsia="宋体" w:cs="宋体"/>
          <w:color w:val="auto"/>
          <w:spacing w:val="0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spacing w:val="0"/>
          <w:lang w:val="en-US" w:eastAsia="zh-CN"/>
        </w:rPr>
        <w:t>运维单位具备与监测任务相适应的技术人员、仪器设备和实验室环境，明确监测人员和管理人员的职责、权限和相互关系，有适当的措施和程序保证监测结果准确可靠。</w:t>
      </w:r>
    </w:p>
    <w:p w14:paraId="5B11B3AD">
      <w:pPr>
        <w:pStyle w:val="4"/>
        <w:widowControl w:val="0"/>
        <w:numPr>
          <w:ilvl w:val="0"/>
          <w:numId w:val="0"/>
        </w:numPr>
        <w:autoSpaceDE w:val="0"/>
        <w:autoSpaceDN w:val="0"/>
        <w:adjustRightInd w:val="0"/>
        <w:snapToGrid w:val="0"/>
        <w:spacing w:before="0" w:after="0" w:line="460" w:lineRule="exact"/>
        <w:ind w:left="0" w:leftChars="0" w:right="0" w:rightChars="0" w:firstLine="480" w:firstLineChars="200"/>
        <w:jc w:val="both"/>
        <w:rPr>
          <w:rFonts w:hint="eastAsia" w:ascii="宋体" w:hAnsi="宋体" w:eastAsia="宋体" w:cs="宋体"/>
          <w:color w:val="auto"/>
          <w:spacing w:val="0"/>
          <w:highlight w:val="none"/>
          <w:lang w:val="en-US" w:eastAsia="zh-CN"/>
        </w:rPr>
      </w:pPr>
      <w:r>
        <w:rPr>
          <w:rFonts w:hint="eastAsia" w:eastAsia="宋体" w:cs="宋体"/>
          <w:color w:val="auto"/>
          <w:spacing w:val="0"/>
          <w:sz w:val="24"/>
          <w:szCs w:val="24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pacing w:val="0"/>
          <w:lang w:val="en-US" w:eastAsia="zh-CN"/>
        </w:rPr>
        <w:t>运维人员具备相关专业知识，通过相应的培训教育和能力确认/考核等活动</w:t>
      </w:r>
      <w:r>
        <w:rPr>
          <w:rFonts w:hint="eastAsia" w:eastAsia="宋体" w:cs="宋体"/>
          <w:color w:val="auto"/>
          <w:spacing w:val="0"/>
          <w:lang w:val="en-US" w:eastAsia="zh-CN"/>
        </w:rPr>
        <w:t>，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lang w:val="en-US" w:eastAsia="zh-CN" w:bidi="zh-CN"/>
        </w:rPr>
        <w:t>具备有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 w:bidi="zh-CN"/>
        </w:rPr>
        <w:t>效期内的自动监控（污废水）</w:t>
      </w:r>
      <w:r>
        <w:rPr>
          <w:rFonts w:hint="eastAsia" w:eastAsia="宋体" w:cs="宋体"/>
          <w:color w:val="auto"/>
          <w:spacing w:val="0"/>
          <w:sz w:val="24"/>
          <w:szCs w:val="24"/>
          <w:highlight w:val="none"/>
          <w:lang w:val="en-US" w:eastAsia="zh-CN" w:bidi="zh-CN"/>
        </w:rPr>
        <w:t>运行</w:t>
      </w:r>
      <w:r>
        <w:rPr>
          <w:rFonts w:hint="eastAsia" w:ascii="宋体" w:hAnsi="宋体" w:eastAsia="宋体" w:cs="宋体"/>
          <w:color w:val="auto"/>
          <w:spacing w:val="0"/>
          <w:sz w:val="24"/>
          <w:szCs w:val="24"/>
          <w:highlight w:val="none"/>
          <w:lang w:val="en-US" w:eastAsia="zh-CN" w:bidi="zh-CN"/>
        </w:rPr>
        <w:t>工上岗证书</w:t>
      </w:r>
      <w:r>
        <w:rPr>
          <w:rFonts w:hint="eastAsia" w:ascii="宋体" w:hAnsi="宋体" w:eastAsia="宋体" w:cs="宋体"/>
          <w:color w:val="auto"/>
          <w:spacing w:val="0"/>
          <w:highlight w:val="none"/>
          <w:lang w:val="en-US" w:eastAsia="zh-CN"/>
        </w:rPr>
        <w:t>。</w:t>
      </w:r>
    </w:p>
    <w:p w14:paraId="79C6F1AD">
      <w:pPr>
        <w:pStyle w:val="4"/>
        <w:widowControl w:val="0"/>
        <w:numPr>
          <w:ilvl w:val="0"/>
          <w:numId w:val="0"/>
        </w:numPr>
        <w:autoSpaceDE w:val="0"/>
        <w:autoSpaceDN w:val="0"/>
        <w:adjustRightInd w:val="0"/>
        <w:snapToGrid w:val="0"/>
        <w:spacing w:before="0" w:after="0" w:line="460" w:lineRule="exact"/>
        <w:ind w:left="0" w:leftChars="0" w:right="0" w:rightChars="0" w:firstLine="480" w:firstLineChars="200"/>
        <w:jc w:val="both"/>
        <w:rPr>
          <w:rFonts w:hint="eastAsia" w:ascii="宋体" w:hAnsi="宋体" w:eastAsia="宋体" w:cs="宋体"/>
          <w:color w:val="auto"/>
          <w:spacing w:val="0"/>
          <w:lang w:val="en-US" w:eastAsia="zh-CN"/>
        </w:rPr>
      </w:pPr>
      <w:r>
        <w:rPr>
          <w:rFonts w:hint="eastAsia" w:eastAsia="宋体" w:cs="宋体"/>
          <w:color w:val="auto"/>
          <w:spacing w:val="0"/>
          <w:highlight w:val="none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kern w:val="0"/>
          <w:szCs w:val="22"/>
          <w:highlight w:val="none"/>
          <w:lang w:val="en-US"/>
        </w:rPr>
        <w:t>承担委托责任，保证各在线连续自动监测系统监测站的正</w:t>
      </w:r>
      <w:r>
        <w:rPr>
          <w:rFonts w:hint="eastAsia" w:ascii="宋体" w:hAnsi="宋体" w:eastAsia="宋体" w:cs="宋体"/>
          <w:color w:val="auto"/>
          <w:kern w:val="0"/>
          <w:szCs w:val="22"/>
          <w:lang w:val="en-US"/>
        </w:rPr>
        <w:t>常运行。对所有在线监测站一一对应建立专人负责制，</w:t>
      </w:r>
      <w:r>
        <w:rPr>
          <w:rFonts w:hint="eastAsia" w:eastAsia="宋体" w:cs="宋体"/>
          <w:color w:val="auto"/>
          <w:kern w:val="0"/>
          <w:szCs w:val="22"/>
          <w:lang w:val="en-US" w:eastAsia="zh-CN"/>
        </w:rPr>
        <w:t>按照各厂在线监测设备特性</w:t>
      </w:r>
      <w:r>
        <w:rPr>
          <w:rFonts w:hint="eastAsia" w:ascii="宋体" w:hAnsi="宋体" w:eastAsia="宋体" w:cs="宋体"/>
          <w:color w:val="auto"/>
          <w:kern w:val="0"/>
          <w:szCs w:val="22"/>
          <w:lang w:val="en-US"/>
        </w:rPr>
        <w:t>制定</w:t>
      </w:r>
      <w:r>
        <w:rPr>
          <w:rFonts w:hint="eastAsia" w:eastAsia="宋体" w:cs="宋体"/>
          <w:color w:val="auto"/>
          <w:kern w:val="0"/>
          <w:szCs w:val="22"/>
          <w:lang w:val="en-US" w:eastAsia="zh-CN"/>
        </w:rPr>
        <w:t>定制化运维服务方案，并制定</w:t>
      </w:r>
      <w:r>
        <w:rPr>
          <w:rFonts w:hint="eastAsia" w:ascii="宋体" w:hAnsi="宋体" w:eastAsia="宋体" w:cs="宋体"/>
          <w:color w:val="auto"/>
          <w:kern w:val="0"/>
          <w:szCs w:val="22"/>
          <w:lang w:val="en-US"/>
        </w:rPr>
        <w:t>操作</w:t>
      </w:r>
      <w:r>
        <w:rPr>
          <w:rFonts w:hint="eastAsia" w:eastAsia="宋体" w:cs="宋体"/>
          <w:color w:val="auto"/>
          <w:kern w:val="0"/>
          <w:szCs w:val="22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Cs w:val="22"/>
          <w:lang w:val="en-US"/>
        </w:rPr>
        <w:t>维修规程和日常保养制度，建立日常运行记录和设备台帐，建立相应的质量保证体系，并接受环境保护管理部门的台帐检查。</w:t>
      </w:r>
    </w:p>
    <w:p w14:paraId="254E673B">
      <w:pPr>
        <w:pStyle w:val="4"/>
        <w:widowControl w:val="0"/>
        <w:numPr>
          <w:ilvl w:val="0"/>
          <w:numId w:val="0"/>
        </w:numPr>
        <w:autoSpaceDE w:val="0"/>
        <w:autoSpaceDN w:val="0"/>
        <w:adjustRightInd w:val="0"/>
        <w:snapToGrid w:val="0"/>
        <w:spacing w:before="0" w:after="0" w:line="460" w:lineRule="exact"/>
        <w:ind w:left="0" w:leftChars="0" w:right="0" w:rightChars="0" w:firstLine="480" w:firstLineChars="200"/>
        <w:jc w:val="both"/>
        <w:rPr>
          <w:rFonts w:hint="eastAsia" w:ascii="宋体" w:hAnsi="宋体" w:eastAsia="宋体" w:cs="宋体"/>
          <w:color w:val="auto"/>
          <w:lang w:val="en-US" w:bidi="ar"/>
        </w:rPr>
      </w:pPr>
      <w:r>
        <w:rPr>
          <w:rFonts w:hint="eastAsia" w:eastAsia="宋体" w:cs="宋体"/>
          <w:color w:val="auto"/>
          <w:kern w:val="0"/>
          <w:sz w:val="24"/>
          <w:szCs w:val="22"/>
          <w:lang w:val="en-US" w:eastAsia="zh-CN" w:bidi="ar"/>
        </w:rPr>
        <w:t>4.定期开展校准校验，</w:t>
      </w:r>
      <w:r>
        <w:rPr>
          <w:rFonts w:hint="eastAsia" w:ascii="宋体" w:hAnsi="宋体" w:eastAsia="宋体" w:cs="宋体"/>
          <w:color w:val="auto"/>
          <w:kern w:val="0"/>
          <w:szCs w:val="22"/>
          <w:lang w:val="en-US" w:bidi="ar"/>
        </w:rPr>
        <w:t>每月（季、年）提供在线</w:t>
      </w:r>
      <w:r>
        <w:rPr>
          <w:rFonts w:hint="eastAsia" w:ascii="宋体" w:hAnsi="宋体" w:eastAsia="宋体" w:cs="宋体"/>
          <w:color w:val="auto"/>
          <w:kern w:val="0"/>
          <w:szCs w:val="22"/>
          <w:lang w:val="en-US" w:eastAsia="zh-CN" w:bidi="ar"/>
        </w:rPr>
        <w:t>运维</w:t>
      </w:r>
      <w:r>
        <w:rPr>
          <w:rFonts w:hint="eastAsia" w:ascii="宋体" w:hAnsi="宋体" w:eastAsia="宋体" w:cs="宋体"/>
          <w:color w:val="auto"/>
          <w:kern w:val="0"/>
          <w:szCs w:val="22"/>
          <w:lang w:val="en-US" w:bidi="ar"/>
        </w:rPr>
        <w:t>设备的</w:t>
      </w:r>
      <w:r>
        <w:rPr>
          <w:rFonts w:hint="eastAsia" w:ascii="宋体" w:hAnsi="宋体" w:eastAsia="宋体" w:cs="宋体"/>
          <w:color w:val="auto"/>
          <w:kern w:val="0"/>
          <w:szCs w:val="22"/>
          <w:lang w:val="en-US" w:eastAsia="zh-CN" w:bidi="ar"/>
        </w:rPr>
        <w:t>运维</w:t>
      </w:r>
      <w:r>
        <w:rPr>
          <w:rFonts w:hint="eastAsia" w:ascii="宋体" w:hAnsi="宋体" w:eastAsia="宋体" w:cs="宋体"/>
          <w:color w:val="auto"/>
          <w:kern w:val="0"/>
          <w:szCs w:val="22"/>
          <w:lang w:val="en-US" w:bidi="ar"/>
        </w:rPr>
        <w:t>情况月度（季度、年度）报表；陈述各站点和在线连续自动监测系统的运行情况。所有技术档案接受甲方的定期检查和不定期抽查；根据甲方管理部门的要求书面汇报运维工作；接受甲方管理部门的定期考核</w:t>
      </w:r>
      <w:r>
        <w:rPr>
          <w:rFonts w:hint="eastAsia" w:ascii="宋体" w:hAnsi="宋体" w:eastAsia="宋体" w:cs="宋体"/>
          <w:color w:val="auto"/>
          <w:kern w:val="0"/>
          <w:szCs w:val="22"/>
          <w:lang w:val="en-US" w:eastAsia="zh-CN" w:bidi="ar"/>
        </w:rPr>
        <w:t>。</w:t>
      </w:r>
    </w:p>
    <w:p w14:paraId="3C6D5781">
      <w:pPr>
        <w:pStyle w:val="4"/>
        <w:widowControl w:val="0"/>
        <w:numPr>
          <w:ilvl w:val="0"/>
          <w:numId w:val="0"/>
        </w:numPr>
        <w:autoSpaceDE w:val="0"/>
        <w:autoSpaceDN w:val="0"/>
        <w:adjustRightInd w:val="0"/>
        <w:snapToGrid w:val="0"/>
        <w:spacing w:before="0" w:after="0" w:line="460" w:lineRule="exact"/>
        <w:ind w:left="0" w:leftChars="0" w:right="0" w:rightChars="0" w:firstLine="480" w:firstLineChars="200"/>
        <w:jc w:val="both"/>
        <w:rPr>
          <w:rFonts w:hint="eastAsia" w:eastAsia="宋体" w:cs="宋体"/>
          <w:color w:val="auto"/>
          <w:kern w:val="0"/>
          <w:sz w:val="24"/>
          <w:szCs w:val="22"/>
          <w:lang w:val="en-US" w:eastAsia="zh-CN" w:bidi="ar"/>
        </w:rPr>
      </w:pPr>
      <w:r>
        <w:rPr>
          <w:rFonts w:hint="eastAsia" w:eastAsia="宋体" w:cs="宋体"/>
          <w:color w:val="auto"/>
          <w:kern w:val="0"/>
          <w:sz w:val="24"/>
          <w:szCs w:val="22"/>
          <w:lang w:val="en-US" w:eastAsia="zh-CN" w:bidi="ar"/>
        </w:rPr>
        <w:t>5.</w:t>
      </w:r>
      <w:r>
        <w:rPr>
          <w:rFonts w:hint="eastAsia" w:ascii="宋体" w:hAnsi="宋体" w:eastAsia="宋体" w:cs="宋体"/>
          <w:color w:val="auto"/>
          <w:kern w:val="0"/>
          <w:sz w:val="24"/>
          <w:szCs w:val="22"/>
          <w:lang w:val="en-US" w:eastAsia="zh-CN" w:bidi="ar"/>
        </w:rPr>
        <w:t>若发现任何异常，需第一时间向</w:t>
      </w:r>
      <w:r>
        <w:rPr>
          <w:rFonts w:hint="eastAsia" w:eastAsia="宋体" w:cs="宋体"/>
          <w:color w:val="auto"/>
          <w:kern w:val="0"/>
          <w:sz w:val="24"/>
          <w:szCs w:val="22"/>
          <w:lang w:val="en-US" w:eastAsia="zh-CN" w:bidi="ar"/>
        </w:rPr>
        <w:t>甲方</w:t>
      </w:r>
      <w:r>
        <w:rPr>
          <w:rFonts w:hint="eastAsia" w:ascii="宋体" w:hAnsi="宋体" w:eastAsia="宋体" w:cs="宋体"/>
          <w:color w:val="auto"/>
          <w:kern w:val="0"/>
          <w:sz w:val="24"/>
          <w:szCs w:val="22"/>
          <w:lang w:val="en-US" w:eastAsia="zh-CN" w:bidi="ar"/>
        </w:rPr>
        <w:t>进行报备</w:t>
      </w:r>
      <w:r>
        <w:rPr>
          <w:rFonts w:hint="eastAsia" w:eastAsia="宋体" w:cs="宋体"/>
          <w:color w:val="auto"/>
          <w:kern w:val="0"/>
          <w:sz w:val="24"/>
          <w:szCs w:val="22"/>
          <w:lang w:val="en-US" w:eastAsia="zh-CN" w:bidi="ar"/>
        </w:rPr>
        <w:t>，不得迟报、瞒报、漏报。</w:t>
      </w:r>
    </w:p>
    <w:p w14:paraId="2E8A495E">
      <w:pPr>
        <w:pStyle w:val="4"/>
        <w:widowControl w:val="0"/>
        <w:numPr>
          <w:ilvl w:val="0"/>
          <w:numId w:val="0"/>
        </w:numPr>
        <w:autoSpaceDE w:val="0"/>
        <w:autoSpaceDN w:val="0"/>
        <w:adjustRightInd w:val="0"/>
        <w:snapToGrid w:val="0"/>
        <w:spacing w:before="0" w:after="0" w:line="460" w:lineRule="exact"/>
        <w:ind w:left="0" w:leftChars="0" w:right="0" w:rightChars="0" w:firstLine="480" w:firstLineChars="200"/>
        <w:jc w:val="both"/>
        <w:rPr>
          <w:rFonts w:hint="eastAsia" w:ascii="宋体" w:hAnsi="宋体" w:eastAsia="宋体" w:cs="宋体"/>
          <w:color w:val="auto"/>
          <w:kern w:val="0"/>
          <w:sz w:val="24"/>
          <w:szCs w:val="22"/>
          <w:lang w:val="en-US" w:eastAsia="zh-CN" w:bidi="ar"/>
        </w:rPr>
      </w:pPr>
      <w:r>
        <w:rPr>
          <w:rFonts w:hint="eastAsia" w:eastAsia="宋体" w:cs="宋体"/>
          <w:color w:val="auto"/>
          <w:kern w:val="0"/>
          <w:sz w:val="24"/>
          <w:szCs w:val="22"/>
          <w:lang w:val="en-US" w:eastAsia="zh-CN" w:bidi="ar"/>
        </w:rPr>
        <w:t>6.</w:t>
      </w:r>
      <w:r>
        <w:rPr>
          <w:rFonts w:hint="eastAsia" w:ascii="宋体" w:hAnsi="宋体" w:eastAsia="宋体" w:cs="宋体"/>
          <w:color w:val="auto"/>
          <w:kern w:val="0"/>
          <w:sz w:val="24"/>
          <w:szCs w:val="22"/>
          <w:lang w:val="en-US" w:eastAsia="zh-CN" w:bidi="ar"/>
        </w:rPr>
        <w:t>协助甲方开展在线监测设施设备规范化、合法化运维培训。</w:t>
      </w:r>
    </w:p>
    <w:p w14:paraId="6B8336B4">
      <w:pPr>
        <w:pStyle w:val="4"/>
        <w:widowControl w:val="0"/>
        <w:numPr>
          <w:ilvl w:val="0"/>
          <w:numId w:val="0"/>
        </w:numPr>
        <w:autoSpaceDE w:val="0"/>
        <w:autoSpaceDN w:val="0"/>
        <w:adjustRightInd w:val="0"/>
        <w:snapToGrid w:val="0"/>
        <w:spacing w:before="0" w:after="0" w:line="460" w:lineRule="exact"/>
        <w:ind w:left="0" w:leftChars="0" w:right="0" w:rightChars="0" w:firstLine="480" w:firstLineChars="200"/>
        <w:jc w:val="both"/>
        <w:rPr>
          <w:rFonts w:hint="default" w:ascii="宋体" w:hAnsi="宋体" w:eastAsia="宋体" w:cs="宋体"/>
          <w:color w:val="auto"/>
          <w:kern w:val="0"/>
          <w:sz w:val="24"/>
          <w:szCs w:val="22"/>
          <w:highlight w:val="none"/>
          <w:u w:val="single"/>
          <w:lang w:val="en-US" w:eastAsia="zh-CN" w:bidi="ar"/>
        </w:rPr>
      </w:pPr>
      <w:r>
        <w:rPr>
          <w:rFonts w:hint="eastAsia" w:eastAsia="宋体" w:cs="宋体"/>
          <w:color w:val="auto"/>
          <w:spacing w:val="0"/>
          <w:sz w:val="24"/>
          <w:szCs w:val="24"/>
          <w:highlight w:val="none"/>
          <w:u w:val="single"/>
          <w:lang w:val="en-US" w:eastAsia="zh-CN"/>
        </w:rPr>
        <w:t>7.</w:t>
      </w:r>
      <w:r>
        <w:rPr>
          <w:rFonts w:hint="eastAsia" w:eastAsia="宋体" w:cs="宋体"/>
          <w:color w:val="auto"/>
          <w:kern w:val="0"/>
          <w:sz w:val="24"/>
          <w:szCs w:val="22"/>
          <w:highlight w:val="none"/>
          <w:u w:val="single"/>
          <w:lang w:val="en-US" w:eastAsia="zh-CN" w:bidi="ar"/>
        </w:rPr>
        <w:t>运维频次：原则上1次/周，应甲方需求进行应急服务。</w:t>
      </w:r>
    </w:p>
    <w:p w14:paraId="0F210BDC">
      <w:pPr>
        <w:pStyle w:val="4"/>
        <w:adjustRightInd/>
        <w:ind w:firstLine="480"/>
        <w:rPr>
          <w:rFonts w:hint="eastAsia" w:ascii="Cambria Math" w:hAnsi="Cambria Math" w:eastAsia="宋体" w:cs="Cambria Math"/>
          <w:color w:val="auto"/>
          <w:highlight w:val="none"/>
          <w:lang w:val="en-US" w:eastAsia="zh-CN"/>
        </w:rPr>
      </w:pPr>
    </w:p>
    <w:p w14:paraId="7E2AD696">
      <w:pPr>
        <w:pStyle w:val="4"/>
        <w:adjustRightInd/>
        <w:ind w:firstLine="480"/>
        <w:rPr>
          <w:rFonts w:hint="eastAsia" w:ascii="Cambria Math" w:hAnsi="Cambria Math" w:eastAsia="宋体" w:cs="Cambria Math"/>
          <w:color w:val="auto"/>
          <w:highlight w:val="none"/>
          <w:lang w:val="en-US" w:eastAsia="zh-CN"/>
        </w:rPr>
      </w:pPr>
    </w:p>
    <w:p w14:paraId="54FB44F3">
      <w:pPr>
        <w:pStyle w:val="4"/>
        <w:adjustRightInd/>
        <w:ind w:firstLine="480"/>
        <w:rPr>
          <w:rFonts w:hint="eastAsia" w:ascii="Cambria Math" w:hAnsi="Cambria Math" w:eastAsia="宋体" w:cs="Cambria Math"/>
          <w:color w:val="auto"/>
          <w:highlight w:val="none"/>
          <w:lang w:val="en-US" w:eastAsia="zh-CN"/>
        </w:rPr>
      </w:pPr>
    </w:p>
    <w:p w14:paraId="2696A33C">
      <w:pPr>
        <w:pStyle w:val="4"/>
        <w:adjustRightInd/>
        <w:ind w:firstLine="480"/>
        <w:rPr>
          <w:rFonts w:hint="eastAsia" w:ascii="Cambria Math" w:hAnsi="Cambria Math" w:eastAsia="宋体" w:cs="Cambria Math"/>
          <w:color w:val="auto"/>
          <w:highlight w:val="none"/>
          <w:lang w:val="en-US" w:eastAsia="zh-CN"/>
        </w:rPr>
      </w:pPr>
    </w:p>
    <w:p w14:paraId="78B58030">
      <w:pPr>
        <w:pStyle w:val="4"/>
        <w:adjustRightInd/>
        <w:ind w:firstLine="480"/>
        <w:rPr>
          <w:rFonts w:hint="eastAsia" w:ascii="Cambria Math" w:hAnsi="Cambria Math" w:eastAsia="宋体" w:cs="Cambria Math"/>
          <w:color w:val="auto"/>
          <w:highlight w:val="none"/>
          <w:lang w:val="en-US" w:eastAsia="zh-CN"/>
        </w:rPr>
      </w:pPr>
    </w:p>
    <w:p w14:paraId="6CFA806F">
      <w:pPr>
        <w:pStyle w:val="4"/>
        <w:adjustRightInd/>
        <w:ind w:firstLine="480"/>
        <w:rPr>
          <w:rFonts w:hint="eastAsia" w:ascii="Cambria Math" w:hAnsi="Cambria Math" w:eastAsia="宋体" w:cs="Cambria Math"/>
          <w:color w:val="auto"/>
          <w:highlight w:val="none"/>
          <w:lang w:val="en-US" w:eastAsia="zh-CN"/>
        </w:rPr>
      </w:pPr>
    </w:p>
    <w:p w14:paraId="47B9DE52">
      <w:pPr>
        <w:pStyle w:val="4"/>
        <w:adjustRightInd/>
        <w:ind w:firstLine="480"/>
        <w:rPr>
          <w:rFonts w:hint="eastAsia" w:ascii="Cambria Math" w:hAnsi="Cambria Math" w:eastAsia="宋体" w:cs="Cambria Math"/>
          <w:color w:val="auto"/>
          <w:highlight w:val="none"/>
          <w:lang w:val="en-US" w:eastAsia="zh-CN"/>
        </w:rPr>
      </w:pPr>
    </w:p>
    <w:p w14:paraId="0F5E6F77">
      <w:pPr>
        <w:pStyle w:val="4"/>
        <w:adjustRightInd/>
        <w:ind w:firstLine="480"/>
        <w:rPr>
          <w:rFonts w:hint="eastAsia" w:ascii="Cambria Math" w:hAnsi="Cambria Math" w:eastAsia="宋体" w:cs="Cambria Math"/>
          <w:color w:val="auto"/>
          <w:highlight w:val="none"/>
          <w:lang w:val="en-US" w:eastAsia="zh-CN"/>
        </w:rPr>
      </w:pPr>
    </w:p>
    <w:p w14:paraId="6C2423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14" w:leftChars="0" w:right="0" w:rightChars="0" w:hanging="14" w:hangingChars="6"/>
        <w:jc w:val="both"/>
        <w:textAlignment w:val="auto"/>
        <w:rPr>
          <w:rFonts w:hint="eastAsia" w:ascii="宋体" w:hAnsi="宋体" w:eastAsia="宋体" w:cs="宋体"/>
          <w:color w:val="auto"/>
          <w:spacing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pacing w:val="0"/>
          <w:sz w:val="24"/>
          <w:szCs w:val="24"/>
        </w:rPr>
        <w:t>附表：资格审查表</w:t>
      </w:r>
    </w:p>
    <w:tbl>
      <w:tblPr>
        <w:tblStyle w:val="5"/>
        <w:tblW w:w="9458" w:type="dxa"/>
        <w:tblInd w:w="-10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7"/>
        <w:gridCol w:w="1027"/>
        <w:gridCol w:w="170"/>
        <w:gridCol w:w="3575"/>
        <w:gridCol w:w="4029"/>
      </w:tblGrid>
      <w:tr w14:paraId="19B9D9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7" w:type="dxa"/>
            <w:vAlign w:val="center"/>
          </w:tcPr>
          <w:p w14:paraId="6A8D333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772" w:type="dxa"/>
            <w:gridSpan w:val="3"/>
            <w:vAlign w:val="center"/>
          </w:tcPr>
          <w:p w14:paraId="0A5CD03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资格要求</w:t>
            </w:r>
          </w:p>
        </w:tc>
        <w:tc>
          <w:tcPr>
            <w:tcW w:w="4029" w:type="dxa"/>
            <w:vAlign w:val="center"/>
          </w:tcPr>
          <w:p w14:paraId="582C3FBD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须提供的资料</w:t>
            </w:r>
          </w:p>
        </w:tc>
      </w:tr>
      <w:tr w14:paraId="6FFFF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7" w:type="dxa"/>
            <w:vMerge w:val="restart"/>
            <w:vAlign w:val="center"/>
          </w:tcPr>
          <w:p w14:paraId="1EFB0F6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97" w:type="dxa"/>
            <w:gridSpan w:val="2"/>
            <w:vMerge w:val="restart"/>
            <w:vAlign w:val="center"/>
          </w:tcPr>
          <w:p w14:paraId="2294F9B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《中华人民共和国政府采购法》第二十二条规定</w:t>
            </w:r>
          </w:p>
        </w:tc>
        <w:tc>
          <w:tcPr>
            <w:tcW w:w="3575" w:type="dxa"/>
            <w:vAlign w:val="center"/>
          </w:tcPr>
          <w:p w14:paraId="24E7B49F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具有独立承担民事责任的能力</w:t>
            </w:r>
          </w:p>
        </w:tc>
        <w:tc>
          <w:tcPr>
            <w:tcW w:w="4029" w:type="dxa"/>
            <w:vAlign w:val="center"/>
          </w:tcPr>
          <w:p w14:paraId="1D72BDA5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营业执照或事业单位法人证书或执业许可证（非企业专业服务机构）或个体工商户营业执照等证明文件。法人的分支机构不能独立承担民事责任，不得以分支机构的身份参加政府采购活动，只能以法人身份参加，银行、保险、石油石化、电力、电信等有行业特殊情况的除外。</w:t>
            </w:r>
          </w:p>
        </w:tc>
      </w:tr>
      <w:tr w14:paraId="2443FB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 w14:paraId="26063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  <w:gridSpan w:val="2"/>
            <w:vMerge w:val="continue"/>
            <w:tcBorders>
              <w:top w:val="nil"/>
            </w:tcBorders>
            <w:vAlign w:val="center"/>
          </w:tcPr>
          <w:p w14:paraId="48E72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3575" w:type="dxa"/>
            <w:vAlign w:val="center"/>
          </w:tcPr>
          <w:p w14:paraId="282943C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具有良好的商业信誉和健全的财务会计制度</w:t>
            </w:r>
          </w:p>
        </w:tc>
        <w:tc>
          <w:tcPr>
            <w:tcW w:w="4029" w:type="dxa"/>
            <w:vMerge w:val="restart"/>
            <w:vAlign w:val="center"/>
          </w:tcPr>
          <w:p w14:paraId="1C25C5B7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sz w:val="24"/>
                <w:szCs w:val="24"/>
                <w:highlight w:val="none"/>
              </w:rPr>
              <w:t>需提供盖章的《资格条件承诺函》，承诺满足条件</w:t>
            </w:r>
          </w:p>
        </w:tc>
      </w:tr>
      <w:tr w14:paraId="30586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 w14:paraId="4C979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  <w:gridSpan w:val="2"/>
            <w:vMerge w:val="continue"/>
            <w:tcBorders>
              <w:top w:val="nil"/>
            </w:tcBorders>
            <w:vAlign w:val="center"/>
          </w:tcPr>
          <w:p w14:paraId="126F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3575" w:type="dxa"/>
            <w:vAlign w:val="center"/>
          </w:tcPr>
          <w:p w14:paraId="0FE3751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有依法缴纳税收和社会保障资金的良好记录</w:t>
            </w:r>
          </w:p>
        </w:tc>
        <w:tc>
          <w:tcPr>
            <w:tcW w:w="4029" w:type="dxa"/>
            <w:vMerge w:val="continue"/>
            <w:tcBorders>
              <w:top w:val="nil"/>
            </w:tcBorders>
            <w:vAlign w:val="center"/>
          </w:tcPr>
          <w:p w14:paraId="149B2A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03F90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 w14:paraId="05285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  <w:gridSpan w:val="2"/>
            <w:vMerge w:val="continue"/>
            <w:tcBorders>
              <w:top w:val="nil"/>
            </w:tcBorders>
            <w:vAlign w:val="center"/>
          </w:tcPr>
          <w:p w14:paraId="0FD44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3575" w:type="dxa"/>
            <w:vAlign w:val="center"/>
          </w:tcPr>
          <w:p w14:paraId="0797A0E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参加政府采购活动前三年内，在经营活动中没有重大违法记录</w:t>
            </w:r>
          </w:p>
        </w:tc>
        <w:tc>
          <w:tcPr>
            <w:tcW w:w="4029" w:type="dxa"/>
            <w:vMerge w:val="continue"/>
            <w:tcBorders>
              <w:top w:val="nil"/>
            </w:tcBorders>
            <w:vAlign w:val="center"/>
          </w:tcPr>
          <w:p w14:paraId="511CBD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</w:tr>
      <w:tr w14:paraId="432A8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 w14:paraId="69747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  <w:gridSpan w:val="2"/>
            <w:vMerge w:val="continue"/>
            <w:tcBorders>
              <w:top w:val="nil"/>
            </w:tcBorders>
            <w:vAlign w:val="center"/>
          </w:tcPr>
          <w:p w14:paraId="7D1F6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3575" w:type="dxa"/>
            <w:vAlign w:val="center"/>
          </w:tcPr>
          <w:p w14:paraId="6073B03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具有履行合同所必需的设备和专业技术能力</w:t>
            </w:r>
          </w:p>
        </w:tc>
        <w:tc>
          <w:tcPr>
            <w:tcW w:w="4029" w:type="dxa"/>
            <w:vAlign w:val="center"/>
          </w:tcPr>
          <w:p w14:paraId="70CD096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供应商履行合同所必须的设备和专业技术能力的证明材料</w:t>
            </w:r>
          </w:p>
          <w:p w14:paraId="7E26F79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sz w:val="24"/>
                <w:szCs w:val="24"/>
                <w:highlight w:val="none"/>
              </w:rPr>
              <w:t>供应商也可按照磋商文件《资格条件承诺函》的格式根据自身实际情况进行承诺满足本条。</w:t>
            </w:r>
          </w:p>
        </w:tc>
      </w:tr>
      <w:tr w14:paraId="7AA89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7" w:type="dxa"/>
            <w:vMerge w:val="continue"/>
            <w:tcBorders>
              <w:top w:val="nil"/>
            </w:tcBorders>
            <w:vAlign w:val="center"/>
          </w:tcPr>
          <w:p w14:paraId="130E0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1197" w:type="dxa"/>
            <w:gridSpan w:val="2"/>
            <w:vMerge w:val="continue"/>
            <w:tcBorders>
              <w:top w:val="nil"/>
            </w:tcBorders>
            <w:vAlign w:val="center"/>
          </w:tcPr>
          <w:p w14:paraId="6C002A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</w:p>
        </w:tc>
        <w:tc>
          <w:tcPr>
            <w:tcW w:w="3575" w:type="dxa"/>
            <w:vAlign w:val="center"/>
          </w:tcPr>
          <w:p w14:paraId="207E89D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法律、行政法规规定的其他条件</w:t>
            </w:r>
          </w:p>
        </w:tc>
        <w:tc>
          <w:tcPr>
            <w:tcW w:w="4029" w:type="dxa"/>
            <w:vAlign w:val="center"/>
          </w:tcPr>
          <w:p w14:paraId="27BB1F53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具备法律、行政法规规定的其他条件的证明材料。</w:t>
            </w:r>
          </w:p>
          <w:p w14:paraId="7E4F1E56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pacing w:val="0"/>
                <w:sz w:val="24"/>
                <w:szCs w:val="24"/>
                <w:highlight w:val="none"/>
              </w:rPr>
              <w:t>供应商也可按照磋商文件《资格条件承诺函》的格式根据自身实际情况进行承诺满足本条。</w:t>
            </w:r>
          </w:p>
        </w:tc>
      </w:tr>
      <w:tr w14:paraId="216C43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7" w:type="dxa"/>
            <w:vAlign w:val="center"/>
          </w:tcPr>
          <w:p w14:paraId="2BB32BB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772" w:type="dxa"/>
            <w:gridSpan w:val="3"/>
            <w:vAlign w:val="center"/>
          </w:tcPr>
          <w:p w14:paraId="3BE4ECC7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29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单位负责人为同一人或者存在直接控股、管理关系的不同供应商，不得参加本项目同一合同项下的政府采购活动。</w:t>
            </w:r>
          </w:p>
        </w:tc>
        <w:tc>
          <w:tcPr>
            <w:tcW w:w="4029" w:type="dxa"/>
            <w:vAlign w:val="center"/>
          </w:tcPr>
          <w:p w14:paraId="594ADC9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b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无政府采购回避事项的书面声明。</w:t>
            </w:r>
            <w:r>
              <w:rPr>
                <w:rFonts w:hint="eastAsia" w:ascii="宋体" w:hAnsi="宋体" w:eastAsia="宋体" w:cs="宋体"/>
                <w:b/>
                <w:color w:val="auto"/>
                <w:spacing w:val="0"/>
                <w:sz w:val="24"/>
                <w:szCs w:val="24"/>
                <w:highlight w:val="none"/>
              </w:rPr>
              <w:t>需提供盖章的《资格条件承诺函》</w:t>
            </w:r>
          </w:p>
        </w:tc>
      </w:tr>
      <w:tr w14:paraId="473C1F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7" w:type="dxa"/>
            <w:vAlign w:val="center"/>
          </w:tcPr>
          <w:p w14:paraId="484A1CAE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772" w:type="dxa"/>
            <w:gridSpan w:val="3"/>
            <w:vAlign w:val="center"/>
          </w:tcPr>
          <w:p w14:paraId="03737320">
            <w:pPr>
              <w:pStyle w:val="1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36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Chars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为本采购项目提供整体设计、规范编制或者项目管理、监理、检测等服务的，不得再参加本项目的其他招标采购活动。</w:t>
            </w:r>
          </w:p>
        </w:tc>
        <w:tc>
          <w:tcPr>
            <w:tcW w:w="4029" w:type="dxa"/>
            <w:vAlign w:val="center"/>
          </w:tcPr>
          <w:p w14:paraId="5448E75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无政府采购回避事项的书面声明。</w:t>
            </w:r>
            <w:r>
              <w:rPr>
                <w:rFonts w:hint="eastAsia" w:ascii="宋体" w:hAnsi="宋体" w:eastAsia="宋体" w:cs="宋体"/>
                <w:b/>
                <w:color w:val="auto"/>
                <w:spacing w:val="0"/>
                <w:sz w:val="24"/>
                <w:szCs w:val="24"/>
                <w:highlight w:val="none"/>
              </w:rPr>
              <w:t>需提供盖章的《资格条件承诺函》</w:t>
            </w:r>
          </w:p>
        </w:tc>
      </w:tr>
      <w:tr w14:paraId="43FB65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7" w:type="dxa"/>
            <w:vAlign w:val="center"/>
          </w:tcPr>
          <w:p w14:paraId="5177CEBB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4772" w:type="dxa"/>
            <w:gridSpan w:val="3"/>
            <w:vAlign w:val="center"/>
          </w:tcPr>
          <w:p w14:paraId="4E09269A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未被列入失信被执行人、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eastAsia="zh-CN"/>
              </w:rPr>
              <w:t>重大税收违法失信主体</w:t>
            </w: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，未被列入政府采购严重违法失信行为记录名单。</w:t>
            </w:r>
          </w:p>
        </w:tc>
        <w:tc>
          <w:tcPr>
            <w:tcW w:w="4029" w:type="dxa"/>
            <w:vAlign w:val="center"/>
          </w:tcPr>
          <w:p w14:paraId="3F04C32C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信用中国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网站(www.creditchina.gov.cn)和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中国政府采购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网站（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instrText xml:space="preserve"> HYPERLINK "http://www.ccgp.gov.cn/" \h </w:instrTex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separate"/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www.ccgp.gov.cn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fldChar w:fldCharType="end"/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）查询结果截图（以首次递交响应文件</w:t>
            </w:r>
          </w:p>
          <w:p w14:paraId="0AA40E2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截止当日查询结果为准），由采购人</w:t>
            </w:r>
          </w:p>
          <w:p w14:paraId="3BD7CA6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 w:righ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和采购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代理</w:t>
            </w:r>
            <w:r>
              <w:rPr>
                <w:rFonts w:hint="eastAsia" w:ascii="宋体" w:hAnsi="宋体" w:eastAsia="宋体" w:cs="宋体"/>
                <w:color w:val="000000" w:themeColor="text1"/>
                <w:spacing w:val="0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机构查询并打印存档。</w:t>
            </w:r>
          </w:p>
        </w:tc>
      </w:tr>
      <w:tr w14:paraId="1C6861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7" w:type="dxa"/>
            <w:vAlign w:val="center"/>
          </w:tcPr>
          <w:p w14:paraId="4D0B3361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4772" w:type="dxa"/>
            <w:gridSpan w:val="3"/>
            <w:vAlign w:val="center"/>
          </w:tcPr>
          <w:p w14:paraId="7EB68918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</w:rPr>
              <w:t>落实政府采购政策需满足的资格要求</w:t>
            </w:r>
          </w:p>
        </w:tc>
        <w:tc>
          <w:tcPr>
            <w:tcW w:w="4029" w:type="dxa"/>
            <w:vAlign w:val="center"/>
          </w:tcPr>
          <w:p w14:paraId="78DE9C2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/</w:t>
            </w:r>
          </w:p>
        </w:tc>
      </w:tr>
      <w:tr w14:paraId="0C07CC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57" w:type="dxa"/>
            <w:vAlign w:val="center"/>
          </w:tcPr>
          <w:p w14:paraId="6FB7213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027" w:type="dxa"/>
            <w:vAlign w:val="center"/>
          </w:tcPr>
          <w:p w14:paraId="3B240E39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pacing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本项目的特定资格要求</w:t>
            </w:r>
          </w:p>
        </w:tc>
        <w:tc>
          <w:tcPr>
            <w:tcW w:w="3745" w:type="dxa"/>
            <w:gridSpan w:val="2"/>
            <w:vAlign w:val="center"/>
          </w:tcPr>
          <w:p w14:paraId="404CAD42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240" w:firstLineChars="10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4029" w:type="dxa"/>
            <w:vAlign w:val="center"/>
          </w:tcPr>
          <w:p w14:paraId="15F93F80">
            <w:pPr>
              <w:pStyle w:val="1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leftChars="0" w:right="0" w:rightChars="0" w:firstLine="240" w:firstLineChars="100"/>
              <w:jc w:val="both"/>
              <w:textAlignment w:val="auto"/>
              <w:rPr>
                <w:rFonts w:hint="default" w:ascii="宋体" w:hAnsi="宋体" w:eastAsia="宋体" w:cs="宋体"/>
                <w:snapToGrid w:val="0"/>
                <w:color w:val="0000FF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</w:tbl>
    <w:p w14:paraId="673381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7C784E"/>
    <w:rsid w:val="3A7C784E"/>
    <w:rsid w:val="41452907"/>
    <w:rsid w:val="647669E1"/>
    <w:rsid w:val="759E1DF7"/>
    <w:rsid w:val="7FE4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460" w:lineRule="exact"/>
      <w:ind w:firstLine="480" w:firstLineChars="200"/>
    </w:pPr>
    <w:rPr>
      <w:rFonts w:ascii="宋体" w:hAnsi="宋体"/>
      <w:sz w:val="24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Body Text First Indent 2"/>
    <w:basedOn w:val="2"/>
    <w:qFormat/>
    <w:uiPriority w:val="99"/>
    <w:pPr>
      <w:ind w:firstLine="420" w:firstLineChars="200"/>
    </w:p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段"/>
    <w:next w:val="1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  <w:style w:type="character" w:customStyle="1" w:styleId="9">
    <w:name w:val="font81"/>
    <w:basedOn w:val="7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0">
    <w:name w:val="font9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  <w:vertAlign w:val="subscript"/>
    </w:rPr>
  </w:style>
  <w:style w:type="character" w:customStyle="1" w:styleId="11">
    <w:name w:val="font10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2">
    <w:name w:val="Table Paragraph"/>
    <w:basedOn w:val="1"/>
    <w:qFormat/>
    <w:uiPriority w:val="1"/>
    <w:rPr>
      <w:rFonts w:ascii="仿宋" w:hAnsi="仿宋" w:eastAsia="仿宋" w:cs="仿宋"/>
      <w:lang w:val="zh-CN" w:eastAsia="zh-CN" w:bidi="zh-CN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780</Words>
  <Characters>822</Characters>
  <Lines>0</Lines>
  <Paragraphs>0</Paragraphs>
  <TotalTime>17</TotalTime>
  <ScaleCrop>false</ScaleCrop>
  <LinksUpToDate>false</LinksUpToDate>
  <CharactersWithSpaces>1056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2024-12-03T05:39:00Z</dcterms:created>
  <dc:creator>洋洋</dc:creator>
  <cp:lastModifiedBy>王晓飞</cp:lastModifiedBy>
  <dcterms:modified xsi:type="dcterms:W3CDTF">2024-12-04T02:47:30Z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04E0BE1FE19E44618B1F946D7E60BC3F_13</vt:lpwstr>
  </property>
</Properties>
</file>