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6A5C46DA">
      <w:pPr>
        <w:pStyle w:val="style0"/>
        <w:spacing w:before="100" w:beforeAutospacing="true" w:after="100" w:afterAutospacing="true" w:lineRule="exact" w:line="520"/>
        <w:jc w:val="center"/>
        <w:rPr>
          <w:rFonts w:ascii="仿宋" w:cs="仿宋" w:eastAsia="仿宋" w:hAnsi="仿宋"/>
          <w:b/>
          <w:bCs/>
          <w:sz w:val="30"/>
          <w:szCs w:val="30"/>
        </w:rPr>
      </w:pPr>
      <w:r>
        <w:rPr>
          <w:rFonts w:ascii="仿宋" w:cs="仿宋" w:eastAsia="仿宋" w:hAnsi="仿宋" w:hint="eastAsia"/>
          <w:b/>
          <w:bCs/>
          <w:sz w:val="30"/>
          <w:szCs w:val="30"/>
        </w:rPr>
        <w:t>精子分析仪招标参数</w:t>
      </w:r>
    </w:p>
    <w:p w14:paraId="0ABE095B">
      <w:pPr>
        <w:pStyle w:val="style0"/>
        <w:spacing w:lineRule="auto" w:line="360"/>
        <w:rPr>
          <w:rFonts w:ascii="宋体" w:cs="宋体" w:eastAsia="宋体" w:hAnsi="宋体"/>
          <w:b/>
          <w:sz w:val="21"/>
          <w:szCs w:val="21"/>
        </w:rPr>
      </w:pPr>
      <w:r>
        <w:rPr>
          <w:rFonts w:ascii="宋体" w:cs="宋体" w:eastAsia="宋体" w:hAnsi="宋体" w:hint="eastAsia"/>
          <w:b/>
          <w:sz w:val="21"/>
          <w:szCs w:val="21"/>
        </w:rPr>
        <w:t>一、技术参数：</w:t>
      </w:r>
    </w:p>
    <w:p w14:paraId="4440975F">
      <w:pPr>
        <w:pStyle w:val="style0"/>
        <w:rPr/>
      </w:pPr>
      <w:r>
        <w:rPr>
          <w:rFonts w:ascii="宋体" w:cs="宋体" w:eastAsia="宋体" w:hAnsi="宋体" w:hint="eastAsia"/>
          <w:sz w:val="21"/>
          <w:szCs w:val="21"/>
        </w:rPr>
        <w:t>▲1、医疗器械产品</w:t>
      </w:r>
      <w:r>
        <w:rPr>
          <w:rFonts w:ascii="宋体" w:cs="宋体" w:eastAsia="宋体" w:hAnsi="宋体" w:hint="default"/>
          <w:sz w:val="21"/>
          <w:szCs w:val="21"/>
          <w:lang w:val="en-US"/>
        </w:rPr>
        <w:t>功能</w:t>
      </w:r>
      <w:r>
        <w:rPr>
          <w:rFonts w:ascii="宋体" w:cs="宋体" w:eastAsia="宋体" w:hAnsi="宋体" w:hint="eastAsia"/>
          <w:sz w:val="21"/>
          <w:szCs w:val="21"/>
        </w:rPr>
        <w:t>范围包含浓度、活力、形态学、DNA碎片分析，存活率分析功能；（提供医疗器械注册证或有资质的第三方检测报告）</w:t>
      </w:r>
    </w:p>
    <w:p w14:paraId="52D30E7A">
      <w:pPr>
        <w:pStyle w:val="style0"/>
        <w:rPr/>
      </w:pPr>
      <w:r>
        <w:rPr>
          <w:rFonts w:ascii="宋体" w:cs="宋体" w:eastAsia="宋体" w:hAnsi="宋体" w:hint="eastAsia"/>
          <w:sz w:val="21"/>
          <w:szCs w:val="21"/>
        </w:rPr>
        <w:t>▲</w:t>
      </w:r>
      <w:r>
        <w:rPr>
          <w:rFonts w:ascii="宋体" w:cs="宋体" w:eastAsia="宋体" w:hAnsi="宋体" w:hint="eastAsia"/>
          <w:bCs/>
          <w:sz w:val="21"/>
          <w:szCs w:val="21"/>
        </w:rPr>
        <w:t>2、</w:t>
      </w:r>
      <w:r>
        <w:rPr>
          <w:rFonts w:ascii="宋体" w:cs="宋体" w:eastAsia="宋体" w:hAnsi="宋体" w:hint="eastAsia"/>
          <w:sz w:val="21"/>
          <w:szCs w:val="21"/>
        </w:rPr>
        <w:t>具备浓度评估功能，实时追踪运动精子。（提供医疗器械注册检验报告复印件证明或有资质的第三方检测报告）</w:t>
      </w:r>
    </w:p>
    <w:p w14:paraId="682D14DE">
      <w:pPr>
        <w:pStyle w:val="style0"/>
        <w:spacing w:lineRule="auto" w:line="360"/>
        <w:rPr>
          <w:rFonts w:ascii="宋体" w:cs="宋体" w:eastAsia="宋体" w:hAnsi="宋体"/>
          <w:bCs/>
          <w:sz w:val="21"/>
          <w:szCs w:val="21"/>
        </w:rPr>
      </w:pPr>
      <w:r>
        <w:rPr>
          <w:rFonts w:ascii="宋体" w:cs="宋体" w:eastAsia="宋体" w:hAnsi="宋体" w:hint="eastAsia"/>
          <w:bCs/>
          <w:sz w:val="21"/>
          <w:szCs w:val="21"/>
        </w:rPr>
        <w:t>3、动态学自动分析项目：</w:t>
      </w:r>
      <w:r>
        <w:rPr>
          <w:rFonts w:ascii="宋体" w:cs="宋体" w:eastAsia="宋体" w:hAnsi="宋体" w:hint="default"/>
          <w:bCs/>
          <w:sz w:val="21"/>
          <w:szCs w:val="21"/>
          <w:lang w:val="en-US"/>
        </w:rPr>
        <w:t>具备圆头、小头精子识别功能，</w:t>
      </w:r>
      <w:r>
        <w:rPr>
          <w:rFonts w:ascii="宋体" w:cs="宋体" w:eastAsia="宋体" w:hAnsi="宋体" w:hint="eastAsia"/>
          <w:bCs/>
          <w:sz w:val="21"/>
          <w:szCs w:val="21"/>
        </w:rPr>
        <w:t>检测精子总数、密度/浓度、每个速度分级的数据（个数、比例、浓度、精子总数）、精子总活力、平均曲线速度、平均直线速度、平均路径速度、侧摆幅值、鞭打频率、平均角度、快速直线个数、快速直线浓度、快速直线活率、直线性、摆动性、前向性。</w:t>
      </w:r>
    </w:p>
    <w:p w14:paraId="65C41802">
      <w:pPr>
        <w:pStyle w:val="style0"/>
        <w:spacing w:lineRule="auto" w:line="360"/>
        <w:rPr>
          <w:rFonts w:ascii="宋体" w:cs="宋体" w:eastAsia="宋体" w:hAnsi="宋体"/>
          <w:bCs/>
          <w:sz w:val="21"/>
          <w:szCs w:val="21"/>
        </w:rPr>
      </w:pPr>
      <w:r>
        <w:rPr>
          <w:rFonts w:ascii="宋体" w:cs="宋体" w:eastAsia="宋体" w:hAnsi="宋体" w:hint="eastAsia"/>
          <w:bCs/>
          <w:sz w:val="21"/>
          <w:szCs w:val="21"/>
        </w:rPr>
        <w:t>4、具备形态学自动分析功能，可识别分析正常、头部、中段、尾部（主段）、过量残留胞浆形态。</w:t>
      </w:r>
    </w:p>
    <w:p w14:paraId="1D4EDA49">
      <w:pPr>
        <w:pStyle w:val="style0"/>
        <w:spacing w:lineRule="auto" w:line="360"/>
        <w:rPr>
          <w:rFonts w:ascii="宋体" w:cs="宋体" w:eastAsia="宋体" w:hAnsi="宋体"/>
          <w:b/>
          <w:sz w:val="24"/>
        </w:rPr>
      </w:pPr>
      <w:r>
        <w:rPr>
          <w:rFonts w:ascii="宋体" w:cs="宋体" w:eastAsia="宋体" w:hAnsi="宋体" w:hint="eastAsia"/>
          <w:bCs/>
          <w:sz w:val="21"/>
          <w:szCs w:val="21"/>
        </w:rPr>
        <w:t>5、具备精子DNA碎片分析功能，可识别分析精子DNA碎片的正常比例和异常比例。</w:t>
      </w:r>
    </w:p>
    <w:p w14:paraId="43EF8B16">
      <w:pPr>
        <w:pStyle w:val="style0"/>
        <w:spacing w:lineRule="auto" w:line="360"/>
        <w:rPr>
          <w:rFonts w:ascii="宋体" w:cs="宋体" w:eastAsia="宋体" w:hAnsi="宋体"/>
          <w:bCs/>
          <w:sz w:val="21"/>
          <w:szCs w:val="21"/>
        </w:rPr>
      </w:pPr>
      <w:r>
        <w:rPr>
          <w:rFonts w:ascii="宋体" w:cs="宋体" w:eastAsia="宋体" w:hAnsi="宋体" w:hint="default"/>
          <w:bCs/>
          <w:sz w:val="21"/>
          <w:szCs w:val="21"/>
          <w:lang w:val="en-US"/>
        </w:rPr>
        <w:t>6</w:t>
      </w:r>
      <w:r>
        <w:rPr>
          <w:rFonts w:ascii="宋体" w:cs="宋体" w:eastAsia="宋体" w:hAnsi="宋体" w:hint="eastAsia"/>
          <w:bCs/>
          <w:sz w:val="21"/>
          <w:szCs w:val="21"/>
        </w:rPr>
        <w:t>、可任意切换世界卫生组织人类精液检查与处理实验室手册第五版和第六版的标准。</w:t>
      </w:r>
      <w:r>
        <w:rPr>
          <w:rFonts w:ascii="宋体" w:cs="宋体" w:eastAsia="宋体" w:hAnsi="宋体" w:hint="eastAsia"/>
          <w:kern w:val="0"/>
          <w:sz w:val="21"/>
          <w:szCs w:val="21"/>
        </w:rPr>
        <w:t>（需提供产品报告单和软件界面截图）</w:t>
      </w:r>
    </w:p>
    <w:p w14:paraId="6DF2FD63">
      <w:pPr>
        <w:pStyle w:val="style0"/>
        <w:spacing w:lineRule="auto" w:line="360"/>
        <w:rPr>
          <w:rFonts w:ascii="宋体" w:cs="宋体" w:eastAsia="宋体" w:hAnsi="宋体"/>
          <w:bCs/>
          <w:sz w:val="21"/>
          <w:szCs w:val="21"/>
        </w:rPr>
      </w:pPr>
      <w:r>
        <w:rPr>
          <w:rFonts w:ascii="宋体" w:cs="宋体" w:eastAsia="宋体" w:hAnsi="宋体" w:hint="default"/>
          <w:sz w:val="21"/>
          <w:szCs w:val="21"/>
          <w:lang w:val="en-US"/>
        </w:rPr>
        <w:t>7</w:t>
      </w:r>
      <w:r>
        <w:rPr>
          <w:rFonts w:ascii="宋体" w:cs="宋体" w:eastAsia="宋体" w:hAnsi="宋体" w:hint="eastAsia"/>
          <w:sz w:val="21"/>
          <w:szCs w:val="21"/>
        </w:rPr>
        <w:t>、精子动力学分析模块：精子前向运动PR符合率≥97%；精子非前向运动NP符合率≥97%；精子不活动IM符合率≥98%。</w:t>
      </w:r>
    </w:p>
    <w:p w14:paraId="125B86D5">
      <w:pPr>
        <w:pStyle w:val="style0"/>
        <w:spacing w:lineRule="auto" w:line="360"/>
        <w:rPr>
          <w:rFonts w:ascii="宋体" w:cs="宋体" w:eastAsia="宋体" w:hAnsi="宋体"/>
          <w:bCs/>
          <w:sz w:val="21"/>
          <w:szCs w:val="21"/>
        </w:rPr>
      </w:pPr>
      <w:r>
        <w:rPr>
          <w:rFonts w:ascii="宋体" w:cs="宋体" w:eastAsia="宋体" w:hAnsi="宋体" w:hint="default"/>
          <w:sz w:val="21"/>
          <w:szCs w:val="21"/>
          <w:lang w:val="en-US"/>
        </w:rPr>
        <w:t>8</w:t>
      </w:r>
      <w:r>
        <w:rPr>
          <w:rFonts w:ascii="宋体" w:cs="宋体" w:eastAsia="宋体" w:hAnsi="宋体" w:hint="eastAsia"/>
          <w:sz w:val="21"/>
          <w:szCs w:val="21"/>
        </w:rPr>
        <w:t>、精子形态学分析模块</w:t>
      </w:r>
      <w:r>
        <w:rPr>
          <w:rFonts w:ascii="宋体" w:cs="宋体" w:eastAsia="宋体" w:hAnsi="宋体" w:hint="eastAsia"/>
          <w:bCs/>
          <w:sz w:val="21"/>
          <w:szCs w:val="21"/>
        </w:rPr>
        <w:t>：正常精子分析符合率≥97%；异常精子分析符合率≥98%；精子形态识别符合率≥97%。</w:t>
      </w:r>
    </w:p>
    <w:p w14:paraId="6C128FE9">
      <w:pPr>
        <w:pStyle w:val="style0"/>
        <w:spacing w:lineRule="auto" w:line="360"/>
        <w:rPr>
          <w:rFonts w:ascii="宋体" w:cs="宋体" w:eastAsia="宋体" w:hAnsi="宋体"/>
          <w:bCs/>
          <w:sz w:val="21"/>
          <w:szCs w:val="21"/>
        </w:rPr>
      </w:pPr>
      <w:r>
        <w:rPr>
          <w:rFonts w:ascii="宋体" w:cs="宋体" w:eastAsia="宋体" w:hAnsi="宋体" w:hint="default"/>
          <w:sz w:val="21"/>
          <w:szCs w:val="21"/>
          <w:lang w:val="en-US"/>
        </w:rPr>
        <w:t>9</w:t>
      </w:r>
      <w:r>
        <w:rPr>
          <w:rFonts w:ascii="宋体" w:cs="宋体" w:eastAsia="宋体" w:hAnsi="宋体" w:hint="eastAsia"/>
          <w:sz w:val="21"/>
          <w:szCs w:val="21"/>
        </w:rPr>
        <w:t>、精子DNA碎片分析模块：精子DNA碎片个数分析符合率≥95%；正常精子DNA碎片分析符合率≥95%；异常精子DNA碎片分析符合率≥97%</w:t>
      </w:r>
    </w:p>
    <w:p w14:paraId="28941F0A">
      <w:pPr>
        <w:pStyle w:val="style0"/>
        <w:spacing w:lineRule="auto" w:line="360"/>
        <w:rPr>
          <w:rFonts w:ascii="宋体" w:cs="宋体" w:eastAsia="宋体" w:hAnsi="宋体"/>
          <w:bCs/>
          <w:sz w:val="21"/>
          <w:szCs w:val="21"/>
        </w:rPr>
      </w:pPr>
      <w:r>
        <w:rPr>
          <w:rFonts w:ascii="宋体" w:cs="宋体" w:eastAsia="宋体" w:hAnsi="宋体" w:hint="eastAsia"/>
          <w:sz w:val="21"/>
          <w:szCs w:val="21"/>
        </w:rPr>
        <w:t>▲11、WHO5标准要求的质控功能包含：（1）取样误差模块，（2）自身差异模块（浓度、活动率、形态学、存活率4个子功能）；（3）Xbar和Sbar模块；（4）人员差异模块（Bland、Youdon、双因素方差分析3个子功能）；（5）月均值模块；（6）室内质控模块；可实时生成相应的质控图表；（提供医疗器械注册检验报告复印件证明</w:t>
      </w:r>
      <w:r>
        <w:rPr>
          <w:rFonts w:ascii="宋体" w:cs="宋体" w:eastAsia="宋体" w:hAnsi="宋体" w:hint="default"/>
          <w:sz w:val="21"/>
          <w:szCs w:val="21"/>
          <w:lang w:val="en-US"/>
        </w:rPr>
        <w:t>或软件界面截图</w:t>
      </w:r>
      <w:r>
        <w:rPr>
          <w:rFonts w:ascii="宋体" w:cs="宋体" w:eastAsia="宋体" w:hAnsi="宋体" w:hint="eastAsia"/>
          <w:sz w:val="21"/>
          <w:szCs w:val="21"/>
        </w:rPr>
        <w:t>）</w:t>
      </w:r>
    </w:p>
    <w:p w14:paraId="0236C955">
      <w:pPr>
        <w:pStyle w:val="style0"/>
        <w:spacing w:lineRule="auto" w:line="360"/>
        <w:rPr>
          <w:rFonts w:ascii="宋体" w:cs="宋体" w:eastAsia="宋体" w:hAnsi="宋体"/>
          <w:bCs/>
          <w:sz w:val="21"/>
          <w:szCs w:val="21"/>
        </w:rPr>
      </w:pPr>
      <w:r>
        <w:rPr>
          <w:rFonts w:ascii="宋体" w:cs="宋体" w:eastAsia="宋体" w:hAnsi="宋体" w:hint="eastAsia"/>
          <w:bCs/>
          <w:sz w:val="21"/>
          <w:szCs w:val="21"/>
        </w:rPr>
        <w:t>12、精子个数的捕捉准确率误差≤4%。</w:t>
      </w:r>
      <w:r>
        <w:rPr>
          <w:rFonts w:ascii="宋体" w:cs="宋体" w:eastAsia="宋体" w:hAnsi="宋体" w:hint="eastAsia"/>
          <w:kern w:val="0"/>
          <w:sz w:val="21"/>
          <w:szCs w:val="21"/>
        </w:rPr>
        <w:t>（需提供医疗器械产品注册检测检验报告）</w:t>
      </w:r>
    </w:p>
    <w:p w14:paraId="26777CD8">
      <w:pPr>
        <w:pStyle w:val="style0"/>
        <w:spacing w:lineRule="auto" w:line="360"/>
        <w:rPr>
          <w:rFonts w:ascii="宋体" w:cs="宋体" w:eastAsia="宋体" w:hAnsi="宋体"/>
          <w:bCs/>
          <w:sz w:val="21"/>
          <w:szCs w:val="21"/>
        </w:rPr>
      </w:pPr>
      <w:r>
        <w:rPr>
          <w:rFonts w:ascii="宋体" w:cs="宋体" w:eastAsia="宋体" w:hAnsi="宋体" w:hint="eastAsia"/>
          <w:bCs/>
          <w:sz w:val="21"/>
          <w:szCs w:val="21"/>
        </w:rPr>
        <w:t>13、产品注册技术要求中</w:t>
      </w:r>
      <w:r>
        <w:rPr>
          <w:rFonts w:ascii="宋体" w:cs="宋体" w:eastAsia="宋体" w:hAnsi="宋体" w:hint="eastAsia"/>
          <w:kern w:val="0"/>
          <w:sz w:val="21"/>
          <w:szCs w:val="21"/>
        </w:rPr>
        <w:t>采集分析时间</w:t>
      </w:r>
      <w:r>
        <w:rPr>
          <w:rFonts w:ascii="宋体" w:cs="宋体" w:eastAsia="宋体" w:hAnsi="宋体" w:hint="eastAsia"/>
          <w:sz w:val="21"/>
          <w:szCs w:val="21"/>
        </w:rPr>
        <w:t>≤</w:t>
      </w:r>
      <w:r>
        <w:rPr>
          <w:rFonts w:ascii="宋体" w:cs="宋体" w:eastAsia="宋体" w:hAnsi="宋体" w:hint="eastAsia"/>
          <w:kern w:val="0"/>
          <w:sz w:val="21"/>
          <w:szCs w:val="21"/>
        </w:rPr>
        <w:t>1.0秒。（需提供医疗器械产品注册检测检验报告）</w:t>
      </w:r>
    </w:p>
    <w:p w14:paraId="5D67ECAC">
      <w:pPr>
        <w:pStyle w:val="style0"/>
        <w:spacing w:lineRule="auto" w:line="360"/>
        <w:rPr>
          <w:rFonts w:ascii="宋体" w:cs="宋体" w:eastAsia="宋体" w:hAnsi="宋体"/>
          <w:bCs/>
          <w:sz w:val="21"/>
          <w:szCs w:val="21"/>
        </w:rPr>
      </w:pPr>
    </w:p>
    <w:p w14:paraId="58A2B523">
      <w:pPr>
        <w:pStyle w:val="style0"/>
        <w:spacing w:lineRule="auto" w:line="360"/>
        <w:rPr>
          <w:rFonts w:ascii="宋体" w:cs="宋体" w:eastAsia="宋体" w:hAnsi="宋体"/>
          <w:b/>
          <w:sz w:val="21"/>
          <w:szCs w:val="21"/>
        </w:rPr>
      </w:pPr>
      <w:r>
        <w:rPr>
          <w:rFonts w:ascii="宋体" w:cs="宋体" w:eastAsia="宋体" w:hAnsi="宋体" w:hint="eastAsia"/>
          <w:b/>
          <w:sz w:val="21"/>
          <w:szCs w:val="21"/>
        </w:rPr>
        <w:t>二、硬件参数：</w:t>
      </w:r>
    </w:p>
    <w:p w14:paraId="0163F187">
      <w:pPr>
        <w:pStyle w:val="style0"/>
        <w:spacing w:lineRule="auto" w:line="360"/>
        <w:rPr>
          <w:rFonts w:ascii="宋体" w:cs="宋体" w:eastAsia="宋体" w:hAnsi="宋体"/>
          <w:sz w:val="21"/>
          <w:szCs w:val="21"/>
        </w:rPr>
      </w:pPr>
      <w:r>
        <w:rPr>
          <w:rFonts w:ascii="宋体" w:cs="宋体" w:eastAsia="宋体" w:hAnsi="宋体" w:hint="eastAsia"/>
          <w:sz w:val="21"/>
          <w:szCs w:val="21"/>
        </w:rPr>
        <w:t>1、</w:t>
      </w:r>
      <w:r>
        <w:rPr>
          <w:rFonts w:ascii="宋体" w:cs="宋体" w:eastAsia="宋体" w:hAnsi="宋体" w:hint="eastAsia"/>
          <w:spacing w:val="0"/>
          <w:kern w:val="0"/>
          <w:sz w:val="21"/>
          <w:szCs w:val="21"/>
        </w:rPr>
        <w:t>显微镜：1套，三目相差显微镜，Ph10x、Ph20x、40x和100x</w:t>
      </w:r>
    </w:p>
    <w:p w14:paraId="4D2CB1B1">
      <w:pPr>
        <w:pStyle w:val="style0"/>
        <w:spacing w:lineRule="auto" w:line="360"/>
        <w:rPr>
          <w:rFonts w:ascii="宋体" w:cs="宋体" w:eastAsia="宋体" w:hAnsi="宋体"/>
          <w:bCs/>
          <w:sz w:val="21"/>
          <w:szCs w:val="21"/>
        </w:rPr>
      </w:pPr>
      <w:r>
        <w:rPr>
          <w:rFonts w:ascii="宋体" w:cs="宋体" w:eastAsia="宋体" w:hAnsi="宋体" w:hint="eastAsia"/>
          <w:bCs/>
          <w:sz w:val="21"/>
          <w:szCs w:val="21"/>
        </w:rPr>
        <w:t>2、摄像机：</w:t>
      </w:r>
      <w:r>
        <w:rPr>
          <w:rFonts w:ascii="宋体" w:cs="宋体" w:eastAsia="宋体" w:hAnsi="宋体" w:hint="eastAsia"/>
          <w:spacing w:val="0"/>
          <w:kern w:val="0"/>
          <w:sz w:val="21"/>
          <w:szCs w:val="21"/>
        </w:rPr>
        <w:t>1套，分辨率≥1920*1200，靶面1/1.2</w:t>
      </w:r>
      <w:r>
        <w:rPr>
          <w:rFonts w:ascii="宋体" w:cs="宋体" w:eastAsia="宋体" w:hAnsi="宋体" w:hint="eastAsia"/>
          <w:bCs/>
          <w:sz w:val="21"/>
          <w:szCs w:val="21"/>
        </w:rPr>
        <w:t>。</w:t>
      </w:r>
    </w:p>
    <w:p w14:paraId="7E4C5DF6">
      <w:pPr>
        <w:pStyle w:val="style0"/>
        <w:spacing w:lineRule="auto" w:line="360"/>
        <w:rPr>
          <w:rFonts w:ascii="宋体" w:cs="宋体" w:eastAsia="宋体" w:hAnsi="宋体"/>
          <w:bCs/>
          <w:sz w:val="21"/>
          <w:szCs w:val="21"/>
        </w:rPr>
      </w:pPr>
      <w:r>
        <w:rPr>
          <w:rFonts w:ascii="宋体" w:cs="宋体" w:eastAsia="宋体" w:hAnsi="宋体" w:hint="eastAsia"/>
          <w:bCs/>
          <w:sz w:val="21"/>
          <w:szCs w:val="21"/>
        </w:rPr>
        <w:t>3、</w:t>
      </w:r>
      <w:r>
        <w:rPr>
          <w:rFonts w:ascii="宋体" w:cs="宋体" w:eastAsia="宋体" w:hAnsi="宋体" w:hint="default"/>
          <w:bCs/>
          <w:sz w:val="21"/>
          <w:szCs w:val="21"/>
          <w:lang w:val="en-US"/>
        </w:rPr>
        <w:t>图形工作站</w:t>
      </w:r>
      <w:r>
        <w:rPr>
          <w:rFonts w:ascii="宋体" w:cs="宋体" w:eastAsia="宋体" w:hAnsi="宋体" w:hint="eastAsia"/>
          <w:bCs/>
          <w:sz w:val="21"/>
          <w:szCs w:val="21"/>
        </w:rPr>
        <w:t>：</w:t>
      </w:r>
      <w:r>
        <w:rPr>
          <w:rFonts w:ascii="宋体" w:cs="宋体" w:eastAsia="宋体" w:hAnsi="宋体" w:hint="eastAsia"/>
          <w:spacing w:val="0"/>
          <w:kern w:val="0"/>
          <w:sz w:val="21"/>
          <w:szCs w:val="21"/>
        </w:rPr>
        <w:t>1套，≥I5处理器，≥16G内存，≥256G SSD+1T硬盘，独立显卡</w:t>
      </w:r>
      <w:r>
        <w:rPr>
          <w:rFonts w:ascii="宋体" w:cs="宋体" w:eastAsia="宋体" w:hAnsi="宋体" w:hint="eastAsia"/>
          <w:bCs/>
          <w:sz w:val="21"/>
          <w:szCs w:val="21"/>
        </w:rPr>
        <w:t>。</w:t>
      </w:r>
    </w:p>
    <w:p w14:paraId="6B5F7CD7">
      <w:pPr>
        <w:pStyle w:val="style0"/>
        <w:spacing w:lineRule="auto" w:line="360"/>
        <w:rPr>
          <w:rFonts w:ascii="宋体" w:cs="宋体" w:eastAsia="宋体" w:hAnsi="宋体"/>
          <w:bCs/>
          <w:sz w:val="21"/>
          <w:szCs w:val="21"/>
        </w:rPr>
      </w:pPr>
      <w:r>
        <w:rPr>
          <w:rFonts w:ascii="宋体" w:cs="宋体" w:eastAsia="宋体" w:hAnsi="宋体" w:hint="eastAsia"/>
          <w:bCs/>
          <w:sz w:val="21"/>
          <w:szCs w:val="21"/>
        </w:rPr>
        <w:t>4、显示器：</w:t>
      </w:r>
      <w:r>
        <w:rPr>
          <w:rFonts w:ascii="宋体" w:cs="宋体" w:eastAsia="宋体" w:hAnsi="宋体" w:hint="eastAsia"/>
          <w:spacing w:val="0"/>
          <w:kern w:val="0"/>
          <w:sz w:val="21"/>
          <w:szCs w:val="21"/>
        </w:rPr>
        <w:t>1套，</w:t>
      </w:r>
      <w:r>
        <w:rPr>
          <w:rFonts w:ascii="宋体" w:cs="宋体" w:eastAsia="宋体" w:hAnsi="宋体" w:hint="eastAsia"/>
          <w:bCs/>
          <w:sz w:val="21"/>
          <w:szCs w:val="21"/>
        </w:rPr>
        <w:t>≥27寸，显示分辨率不低于1920×1080。</w:t>
      </w:r>
    </w:p>
    <w:p w14:paraId="0E5818D8">
      <w:pPr>
        <w:pStyle w:val="style0"/>
        <w:widowControl/>
        <w:spacing w:lineRule="auto" w:line="360"/>
        <w:jc w:val="left"/>
        <w:rPr>
          <w:rFonts w:ascii="宋体" w:cs="宋体" w:eastAsia="宋体" w:hAnsi="宋体" w:hint="eastAsia"/>
          <w:bCs/>
          <w:sz w:val="21"/>
          <w:szCs w:val="21"/>
        </w:rPr>
      </w:pPr>
      <w:r>
        <w:rPr>
          <w:rFonts w:ascii="宋体" w:cs="宋体" w:eastAsia="宋体" w:hAnsi="宋体" w:hint="eastAsia"/>
          <w:bCs/>
          <w:sz w:val="21"/>
          <w:szCs w:val="21"/>
        </w:rPr>
        <w:t>5、</w:t>
      </w:r>
      <w:r>
        <w:rPr>
          <w:rFonts w:ascii="宋体" w:cs="宋体" w:eastAsia="宋体" w:hAnsi="宋体" w:hint="default"/>
          <w:bCs/>
          <w:sz w:val="21"/>
          <w:szCs w:val="21"/>
          <w:lang w:val="en-US"/>
        </w:rPr>
        <w:t>图文输出系统</w:t>
      </w:r>
      <w:r>
        <w:rPr>
          <w:rFonts w:ascii="宋体" w:cs="宋体" w:eastAsia="宋体" w:hAnsi="宋体" w:hint="eastAsia"/>
          <w:bCs/>
          <w:sz w:val="21"/>
          <w:szCs w:val="21"/>
        </w:rPr>
        <w:t>：彩色打印机。</w:t>
      </w:r>
    </w:p>
    <w:p w14:paraId="20BFD6E5">
      <w:pPr>
        <w:pStyle w:val="style0"/>
        <w:widowControl/>
        <w:spacing w:lineRule="auto" w:line="360"/>
        <w:jc w:val="left"/>
        <w:rPr>
          <w:rFonts w:ascii="宋体" w:cs="宋体" w:eastAsia="宋体" w:hAnsi="宋体"/>
          <w:bCs/>
          <w:sz w:val="21"/>
          <w:szCs w:val="21"/>
        </w:rPr>
      </w:pPr>
      <w:r>
        <w:rPr>
          <w:rFonts w:cs="宋体" w:eastAsia="宋体" w:hAnsi="宋体" w:hint="default"/>
          <w:bCs/>
          <w:sz w:val="21"/>
          <w:szCs w:val="21"/>
          <w:lang w:val="en-US"/>
        </w:rPr>
        <w:t>▲</w:t>
      </w:r>
      <w:r>
        <w:rPr>
          <w:rFonts w:ascii="宋体" w:cs="宋体" w:eastAsia="宋体" w:hAnsi="宋体" w:hint="default"/>
          <w:bCs/>
          <w:sz w:val="21"/>
          <w:szCs w:val="21"/>
          <w:lang w:val="en-US"/>
        </w:rPr>
        <w:t>6、全自动三玻片玻璃恒温平台，</w:t>
      </w:r>
      <w:r>
        <w:rPr>
          <w:rFonts w:ascii="宋体" w:cs="宋体" w:eastAsia="宋体" w:hAnsi="宋体" w:hint="eastAsia"/>
          <w:bCs/>
          <w:sz w:val="21"/>
          <w:szCs w:val="21"/>
        </w:rPr>
        <w:t>显微图像扫描模块为显微镜整机组成，具备WHO精液分析标准要求的目镜复核功能</w:t>
      </w:r>
      <w:bookmarkStart w:id="0" w:name="_GoBack"/>
      <w:bookmarkEnd w:id="0"/>
      <w:r>
        <w:rPr>
          <w:rFonts w:ascii="宋体" w:cs="宋体" w:hAnsi="宋体" w:hint="default"/>
          <w:bCs/>
          <w:sz w:val="21"/>
          <w:szCs w:val="21"/>
          <w:lang w:val="en-US"/>
        </w:rPr>
        <w:t>，能够镜下观察标本</w:t>
      </w:r>
      <w:r>
        <w:rPr>
          <w:rFonts w:ascii="宋体" w:cs="宋体" w:eastAsia="宋体" w:hAnsi="宋体" w:hint="default"/>
          <w:bCs/>
          <w:sz w:val="21"/>
          <w:szCs w:val="21"/>
          <w:lang w:val="en-US"/>
        </w:rPr>
        <w:t>。</w:t>
      </w:r>
    </w:p>
    <w:p w14:paraId="526D5C0B">
      <w:pPr>
        <w:pStyle w:val="style0"/>
        <w:spacing w:lineRule="auto" w:line="360"/>
        <w:rPr>
          <w:rFonts w:ascii="宋体" w:cs="宋体" w:eastAsia="宋体" w:hAnsi="宋体"/>
          <w:bCs/>
          <w:sz w:val="21"/>
          <w:szCs w:val="21"/>
        </w:rPr>
      </w:pPr>
    </w:p>
    <w:sectPr>
      <w:pgSz w:w="11906" w:h="16838" w:orient="portrait"/>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0020304"/>
    <w:charset w:val="00"/>
    <w:family w:val="roman"/>
    <w:pitch w:val="variable"/>
    <w:sig w:usb0="20007A87" w:usb1="80000000" w:usb2="00000008" w:usb3="00000000" w:csb0="000001FF" w:csb1="00000000"/>
  </w:font>
  <w:font w:name="宋体">
    <w:altName w:val="宋体"/>
    <w:panose1 w:val="02010600030000010101"/>
    <w:charset w:val="86"/>
    <w:family w:val="auto"/>
    <w:pitch w:val="default"/>
    <w:sig w:usb0="00000203" w:usb1="288F0000" w:usb2="00000006" w:usb3="00000000" w:csb0="00040001" w:csb1="00000000"/>
  </w:font>
  <w:font w:name="Wingdings">
    <w:altName w:val="Wingdings"/>
    <w:panose1 w:val="05000000000000000000"/>
    <w:charset w:val="02"/>
    <w:family w:val="auto"/>
    <w:pitch w:val="default"/>
    <w:sig w:usb0="00000000" w:usb1="00000000" w:usb2="00000000" w:usb3="00000000" w:csb0="80000000" w:csb1="00000000"/>
  </w:font>
  <w:font w:name="Arial">
    <w:altName w:val="Arial"/>
    <w:panose1 w:val="020b0604020000020204"/>
    <w:charset w:val="01"/>
    <w:family w:val="swiss"/>
    <w:pitch w:val="default"/>
    <w:sig w:usb0="E0002EFF" w:usb1="C000785B" w:usb2="00000009" w:usb3="00000000" w:csb0="400001FF" w:csb1="FFFF0000"/>
  </w:font>
  <w:font w:name="黑体">
    <w:altName w:val="黑体"/>
    <w:panose1 w:val="02010609060000010101"/>
    <w:charset w:val="86"/>
    <w:family w:val="auto"/>
    <w:pitch w:val="default"/>
    <w:sig w:usb0="800002BF" w:usb1="38CF7CFA" w:usb2="00000016" w:usb3="00000000" w:csb0="00040001" w:csb1="00000000"/>
  </w:font>
  <w:font w:name="Courier New">
    <w:altName w:val="Courier New"/>
    <w:panose1 w:val="02070309020000020404"/>
    <w:charset w:val="01"/>
    <w:family w:val="modern"/>
    <w:pitch w:val="default"/>
    <w:sig w:usb0="E0002EFF" w:usb1="C0007843" w:usb2="00000009" w:usb3="00000000" w:csb0="400001FF" w:csb1="FFFF0000"/>
  </w:font>
  <w:font w:name="Symbol">
    <w:altName w:val="Symbol"/>
    <w:panose1 w:val="05050102010000020507"/>
    <w:charset w:val="02"/>
    <w:family w:val="roman"/>
    <w:pitch w:val="default"/>
    <w:sig w:usb0="00000000" w:usb1="00000000" w:usb2="00000000" w:usb3="00000000" w:csb0="80000000" w:csb1="00000000"/>
  </w:font>
  <w:font w:name="Calibri">
    <w:altName w:val="Calibri"/>
    <w:panose1 w:val="020f0502020000030204"/>
    <w:charset w:val="00"/>
    <w:family w:val="swiss"/>
    <w:pitch w:val="default"/>
    <w:sig w:usb0="E4002EFF" w:usb1="C000247B" w:usb2="00000009" w:usb3="00000000" w:csb0="200001FF" w:csb1="00000000"/>
  </w:font>
  <w:font w:name="仿宋_GB2312">
    <w:altName w:val="仿宋_GB2312"/>
    <w:panose1 w:val="02010609030000010101"/>
    <w:charset w:val="86"/>
    <w:family w:val="modern"/>
    <w:pitch w:val="default"/>
    <w:sig w:usb0="00000001" w:usb1="080E0000" w:usb2="00000000" w:usb3="00000000" w:csb0="00040000" w:csb1="00000000"/>
  </w:font>
  <w:font w:name="仿宋">
    <w:altName w:val="仿宋"/>
    <w:panose1 w:val="02010609060000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60"/>
  <w:embedSystemFonts/>
  <w:bordersDoNotSurroundHeader/>
  <w:bordersDoNotSurroundFooter/>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Times New Roman" w:eastAsia="宋体" w:hAnsi="Calibri"/>
      </w:rPr>
    </w:rPrDefault>
    <w:pPrDefault>
      <w:pPr/>
    </w:pPrDefault>
  </w:docDefaults>
  <w:style w:type="paragraph" w:default="1" w:styleId="style0">
    <w:name w:val="Normal"/>
    <w:next w:val="style0"/>
    <w:qFormat/>
    <w:uiPriority w:val="0"/>
    <w:pPr>
      <w:widowControl w:val="false"/>
      <w:autoSpaceDE w:val="false"/>
      <w:autoSpaceDN w:val="false"/>
      <w:adjustRightInd w:val="false"/>
      <w:snapToGrid w:val="false"/>
      <w:spacing w:lineRule="atLeast" w:line="594"/>
      <w:jc w:val="both"/>
    </w:pPr>
    <w:rPr>
      <w:rFonts w:ascii="Calibri" w:cs="Times New Roman" w:eastAsia="仿宋_GB2312" w:hAnsi="Calibri"/>
      <w:spacing w:val="-4"/>
      <w:kern w:val="2"/>
      <w:sz w:val="32"/>
      <w:szCs w:val="24"/>
      <w:lang w:val="en-US" w:bidi="ar-SA" w:eastAsia="zh-CN"/>
    </w:rPr>
  </w:style>
  <w:style w:type="character" w:default="1" w:styleId="style65">
    <w:name w:val="Default Paragraph Font"/>
    <w:next w:val="style65"/>
    <w:uiPriority w:val="1"/>
  </w:style>
  <w:style w:type="table" w:default="1" w:styleId="style105">
    <w:name w:val="Normal Table"/>
    <w:next w:val="style105"/>
    <w:qFormat/>
    <w:uiPriority w:val="99"/>
    <w:pPr/>
    <w:rPr/>
    <w:tblPr>
      <w:tblCellMar>
        <w:top w:w="0" w:type="dxa"/>
        <w:left w:w="108" w:type="dxa"/>
        <w:bottom w:w="0" w:type="dxa"/>
        <w:right w:w="108" w:type="dxa"/>
      </w:tblCellMar>
    </w:tblPr>
    <w:tcPr>
      <w:tcBorders/>
    </w:tcPr>
  </w:style>
  <w:style w:type="paragraph" w:styleId="style30">
    <w:name w:val="annotation text"/>
    <w:basedOn w:val="style0"/>
    <w:next w:val="style30"/>
    <w:qFormat/>
    <w:uiPriority w:val="0"/>
    <w:pPr>
      <w:jc w:val="left"/>
    </w:pPr>
    <w:rPr/>
  </w:style>
  <w:style w:type="paragraph" w:styleId="style32">
    <w:name w:val="footer"/>
    <w:basedOn w:val="style0"/>
    <w:next w:val="style32"/>
    <w:link w:val="style4099"/>
    <w:qFormat/>
    <w:uiPriority w:val="0"/>
    <w:pPr>
      <w:tabs>
        <w:tab w:val="center" w:leader="none" w:pos="4153"/>
        <w:tab w:val="right" w:leader="none" w:pos="8306"/>
      </w:tabs>
      <w:spacing w:lineRule="atLeast" w:line="240"/>
      <w:jc w:val="left"/>
    </w:pPr>
    <w:rPr>
      <w:sz w:val="18"/>
      <w:szCs w:val="18"/>
    </w:rPr>
  </w:style>
  <w:style w:type="paragraph" w:styleId="style31">
    <w:name w:val="header"/>
    <w:basedOn w:val="style0"/>
    <w:next w:val="style31"/>
    <w:link w:val="style4098"/>
    <w:qFormat/>
    <w:uiPriority w:val="0"/>
    <w:pPr>
      <w:pBdr>
        <w:bottom w:val="single" w:sz="6" w:space="1" w:color="auto"/>
      </w:pBdr>
      <w:tabs>
        <w:tab w:val="center" w:leader="none" w:pos="4153"/>
        <w:tab w:val="right" w:leader="none" w:pos="8306"/>
      </w:tabs>
      <w:spacing w:lineRule="atLeast" w:line="240"/>
      <w:jc w:val="center"/>
    </w:pPr>
    <w:rPr>
      <w:sz w:val="18"/>
      <w:szCs w:val="18"/>
    </w:rPr>
  </w:style>
  <w:style w:type="paragraph" w:styleId="style94">
    <w:name w:val="Normal (Web)"/>
    <w:basedOn w:val="style0"/>
    <w:next w:val="style94"/>
    <w:qFormat/>
    <w:uiPriority w:val="99"/>
    <w:pPr>
      <w:autoSpaceDE/>
      <w:autoSpaceDN/>
      <w:adjustRightInd/>
      <w:snapToGrid/>
      <w:spacing w:beforeAutospacing="true" w:afterAutospacing="true" w:lineRule="auto" w:line="240"/>
      <w:jc w:val="left"/>
    </w:pPr>
    <w:rPr>
      <w:rFonts w:ascii="Times New Roman" w:eastAsia="宋体" w:hAnsi="Times New Roman"/>
      <w:spacing w:val="0"/>
      <w:kern w:val="0"/>
      <w:sz w:val="24"/>
    </w:rPr>
  </w:style>
  <w:style w:type="table" w:styleId="style154">
    <w:name w:val="Table Grid"/>
    <w:basedOn w:val="style105"/>
    <w:next w:val="style154"/>
    <w:qFormat/>
    <w:uiPriority w:val="39"/>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cPr>
  </w:style>
  <w:style w:type="paragraph" w:customStyle="1" w:styleId="style4097">
    <w:name w:val="Default"/>
    <w:next w:val="style4097"/>
    <w:qFormat/>
    <w:uiPriority w:val="0"/>
    <w:pPr>
      <w:widowControl w:val="false"/>
      <w:autoSpaceDE w:val="false"/>
      <w:autoSpaceDN w:val="false"/>
      <w:adjustRightInd w:val="false"/>
    </w:pPr>
    <w:rPr>
      <w:rFonts w:ascii="宋体" w:cs="宋体" w:eastAsia="宋体" w:hAnsi="Times New Roman"/>
      <w:color w:val="000000"/>
      <w:sz w:val="24"/>
      <w:szCs w:val="24"/>
      <w:lang w:val="en-US" w:bidi="ar-SA" w:eastAsia="zh-CN"/>
    </w:rPr>
  </w:style>
  <w:style w:type="character" w:customStyle="1" w:styleId="style4098">
    <w:name w:val="页眉 Char"/>
    <w:basedOn w:val="style65"/>
    <w:next w:val="style4098"/>
    <w:link w:val="style31"/>
    <w:qFormat/>
    <w:uiPriority w:val="0"/>
    <w:rPr>
      <w:rFonts w:eastAsia="仿宋_GB2312"/>
      <w:spacing w:val="-4"/>
      <w:kern w:val="2"/>
      <w:sz w:val="18"/>
      <w:szCs w:val="18"/>
    </w:rPr>
  </w:style>
  <w:style w:type="character" w:customStyle="1" w:styleId="style4099">
    <w:name w:val="页脚 Char"/>
    <w:basedOn w:val="style65"/>
    <w:next w:val="style4099"/>
    <w:link w:val="style32"/>
    <w:qFormat/>
    <w:uiPriority w:val="0"/>
    <w:rPr>
      <w:rFonts w:eastAsia="仿宋_GB2312"/>
      <w:spacing w:val="-4"/>
      <w:kern w:val="2"/>
      <w:sz w:val="18"/>
      <w:szCs w:val="18"/>
    </w:rPr>
  </w:style>
  <w:style w:type="paragraph" w:styleId="style179">
    <w:name w:val="List Paragraph"/>
    <w:basedOn w:val="style0"/>
    <w:next w:val="style179"/>
    <w:qFormat/>
    <w:uiPriority w:val="99"/>
    <w:pPr>
      <w:ind w:firstLine="420" w:firstLineChars="200"/>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Words>970</Words>
  <Pages>2</Pages>
  <Characters>1074</Characters>
  <Application>WPS Office</Application>
  <DocSecurity>0</DocSecurity>
  <Paragraphs>23</Paragraphs>
  <ScaleCrop>false</ScaleCrop>
  <Company>Microsoft</Company>
  <LinksUpToDate>false</LinksUpToDate>
  <CharactersWithSpaces>1075</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2024-03-14T03:29:00Z</dcterms:created>
  <dc:creator>lenovo</dc:creator>
  <lastModifiedBy>PGT-AN00</lastModifiedBy>
  <dcterms:modified xsi:type="dcterms:W3CDTF">2025-07-22T01:01:57Z</dcterms:modified>
  <revision>5</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1bf3a4ab788d41038dd442db233b313d_23</vt:lpwstr>
  </property>
  <property fmtid="{D5CDD505-2E9C-101B-9397-08002B2CF9AE}" pid="4" name="KSOTemplateDocerSaveRecord">
    <vt:lpwstr>eyJoZGlkIjoiMDI0MDkxZmFkYjYxZGU3ODk1NDRjYTZkYTkyZDA1OWEiLCJ1c2VySWQiOiIxODk1NDAyMDEifQ==</vt:lpwstr>
  </property>
</Properties>
</file>