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1DFD75">
      <w:pPr>
        <w:jc w:val="center"/>
        <w:rPr>
          <w:rFonts w:hint="default" w:eastAsiaTheme="minorEastAsia"/>
          <w:b/>
          <w:bCs/>
          <w:sz w:val="24"/>
          <w:szCs w:val="28"/>
          <w:lang w:val="en-US" w:eastAsia="zh-CN"/>
        </w:rPr>
      </w:pPr>
      <w:bookmarkStart w:id="2" w:name="_GoBack"/>
      <w:r>
        <w:rPr>
          <w:rFonts w:hint="eastAsia"/>
          <w:b/>
          <w:bCs/>
          <w:sz w:val="24"/>
          <w:szCs w:val="28"/>
          <w:lang w:val="en-US" w:eastAsia="zh-CN"/>
        </w:rPr>
        <w:t>PASS集中药品管控系统技术参数</w:t>
      </w:r>
    </w:p>
    <w:bookmarkEnd w:id="2"/>
    <w:tbl>
      <w:tblPr>
        <w:tblStyle w:val="13"/>
        <w:tblpPr w:leftFromText="180" w:rightFromText="180" w:vertAnchor="page" w:horzAnchor="margin" w:tblpY="2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560"/>
        <w:gridCol w:w="6287"/>
      </w:tblGrid>
      <w:tr w14:paraId="6F0F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63103BE">
            <w:pPr>
              <w:spacing w:line="360" w:lineRule="auto"/>
              <w:rPr>
                <w:rFonts w:hint="eastAsia" w:ascii="宋体" w:hAnsi="宋体" w:eastAsia="宋体"/>
                <w:szCs w:val="21"/>
              </w:rPr>
            </w:pPr>
            <w:r>
              <w:rPr>
                <w:rFonts w:ascii="宋体" w:hAnsi="宋体" w:eastAsia="宋体"/>
                <w:szCs w:val="21"/>
              </w:rPr>
              <w:t>序号</w:t>
            </w:r>
          </w:p>
        </w:tc>
        <w:tc>
          <w:tcPr>
            <w:tcW w:w="1560" w:type="dxa"/>
            <w:vAlign w:val="center"/>
          </w:tcPr>
          <w:p w14:paraId="4D765A7E">
            <w:pPr>
              <w:spacing w:line="360" w:lineRule="auto"/>
              <w:rPr>
                <w:rFonts w:hint="eastAsia" w:ascii="宋体" w:hAnsi="宋体" w:eastAsia="宋体"/>
                <w:szCs w:val="21"/>
              </w:rPr>
            </w:pPr>
            <w:r>
              <w:rPr>
                <w:rFonts w:ascii="宋体" w:hAnsi="宋体" w:eastAsia="宋体"/>
                <w:szCs w:val="21"/>
              </w:rPr>
              <w:t>子项</w:t>
            </w:r>
          </w:p>
        </w:tc>
        <w:tc>
          <w:tcPr>
            <w:tcW w:w="6287" w:type="dxa"/>
            <w:vAlign w:val="center"/>
          </w:tcPr>
          <w:p w14:paraId="70DCB74A">
            <w:pPr>
              <w:spacing w:line="360" w:lineRule="auto"/>
              <w:rPr>
                <w:rFonts w:hint="eastAsia" w:ascii="宋体" w:hAnsi="宋体" w:eastAsia="宋体"/>
                <w:szCs w:val="21"/>
              </w:rPr>
            </w:pPr>
            <w:r>
              <w:rPr>
                <w:rFonts w:ascii="宋体" w:hAnsi="宋体" w:eastAsia="宋体"/>
                <w:szCs w:val="21"/>
              </w:rPr>
              <w:t>详细要求</w:t>
            </w:r>
          </w:p>
        </w:tc>
      </w:tr>
      <w:tr w14:paraId="4F4B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14:paraId="38435E54">
            <w:pPr>
              <w:spacing w:line="360" w:lineRule="auto"/>
              <w:rPr>
                <w:rFonts w:hint="eastAsia" w:ascii="宋体" w:hAnsi="宋体" w:eastAsia="宋体" w:cs="Arial"/>
                <w:b/>
                <w:bCs/>
                <w:szCs w:val="21"/>
              </w:rPr>
            </w:pPr>
            <w:r>
              <w:rPr>
                <w:rFonts w:hint="eastAsia" w:ascii="宋体" w:hAnsi="宋体" w:eastAsia="宋体" w:cs="Arial"/>
                <w:b/>
                <w:bCs/>
                <w:szCs w:val="21"/>
              </w:rPr>
              <w:t>集采药品管控功能要求</w:t>
            </w:r>
          </w:p>
        </w:tc>
      </w:tr>
      <w:tr w14:paraId="4026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1E3AFE3">
            <w:pPr>
              <w:pStyle w:val="18"/>
              <w:numPr>
                <w:ilvl w:val="0"/>
                <w:numId w:val="2"/>
              </w:numPr>
              <w:spacing w:line="360" w:lineRule="auto"/>
              <w:ind w:left="0" w:firstLine="0" w:firstLineChars="0"/>
              <w:rPr>
                <w:rFonts w:hint="eastAsia" w:ascii="宋体" w:hAnsi="宋体" w:eastAsia="宋体"/>
                <w:szCs w:val="21"/>
              </w:rPr>
            </w:pPr>
            <w:bookmarkStart w:id="0" w:name="_Hlk109920880"/>
          </w:p>
        </w:tc>
        <w:tc>
          <w:tcPr>
            <w:tcW w:w="1560" w:type="dxa"/>
            <w:vAlign w:val="center"/>
          </w:tcPr>
          <w:p w14:paraId="6115EA18">
            <w:pPr>
              <w:spacing w:line="360" w:lineRule="auto"/>
              <w:rPr>
                <w:rFonts w:hint="eastAsia" w:ascii="宋体" w:hAnsi="宋体" w:eastAsia="宋体"/>
                <w:szCs w:val="21"/>
              </w:rPr>
            </w:pPr>
            <w:r>
              <w:rPr>
                <w:rFonts w:ascii="宋体" w:hAnsi="宋体" w:eastAsia="宋体"/>
                <w:szCs w:val="21"/>
              </w:rPr>
              <w:t>监测</w:t>
            </w:r>
            <w:r>
              <w:rPr>
                <w:rFonts w:hint="eastAsia" w:ascii="宋体" w:hAnsi="宋体" w:eastAsia="宋体"/>
                <w:szCs w:val="21"/>
              </w:rPr>
              <w:t>图表</w:t>
            </w:r>
          </w:p>
        </w:tc>
        <w:tc>
          <w:tcPr>
            <w:tcW w:w="6287" w:type="dxa"/>
            <w:vAlign w:val="center"/>
          </w:tcPr>
          <w:p w14:paraId="6622001D">
            <w:pPr>
              <w:pStyle w:val="3"/>
              <w:rPr>
                <w:rFonts w:hint="eastAsia" w:ascii="宋体" w:hAnsi="宋体" w:cstheme="minorBidi"/>
                <w:b w:val="0"/>
                <w:bCs w:val="0"/>
                <w:sz w:val="21"/>
                <w:szCs w:val="21"/>
              </w:rPr>
            </w:pPr>
            <w:r>
              <w:rPr>
                <w:rFonts w:hint="eastAsia" w:ascii="宋体" w:hAnsi="宋体" w:eastAsia="宋体" w:cs="Arial"/>
                <w:bCs/>
                <w:color w:val="auto"/>
                <w:sz w:val="21"/>
                <w:szCs w:val="21"/>
                <w:highlight w:val="none"/>
              </w:rPr>
              <w:t>▲</w:t>
            </w:r>
            <w:r>
              <w:rPr>
                <w:rFonts w:ascii="宋体" w:hAnsi="宋体" w:cstheme="minorBidi"/>
                <w:b w:val="0"/>
                <w:bCs w:val="0"/>
                <w:sz w:val="21"/>
                <w:szCs w:val="21"/>
              </w:rPr>
              <w:t>系统可提供集采药品使用监测图表，展示</w:t>
            </w:r>
            <w:r>
              <w:rPr>
                <w:rFonts w:hint="eastAsia" w:ascii="宋体" w:hAnsi="宋体" w:cstheme="minorBidi"/>
                <w:b w:val="0"/>
                <w:bCs w:val="0"/>
                <w:sz w:val="21"/>
                <w:szCs w:val="21"/>
              </w:rPr>
              <w:t>各批次</w:t>
            </w:r>
            <w:r>
              <w:rPr>
                <w:rFonts w:ascii="宋体" w:hAnsi="宋体" w:cstheme="minorBidi"/>
                <w:b w:val="0"/>
                <w:bCs w:val="0"/>
                <w:sz w:val="21"/>
                <w:szCs w:val="21"/>
              </w:rPr>
              <w:t>集采药品</w:t>
            </w:r>
            <w:r>
              <w:rPr>
                <w:rFonts w:hint="eastAsia" w:ascii="宋体" w:hAnsi="宋体" w:cstheme="minorBidi"/>
                <w:b w:val="0"/>
                <w:bCs w:val="0"/>
                <w:sz w:val="21"/>
                <w:szCs w:val="21"/>
              </w:rPr>
              <w:t>的</w:t>
            </w:r>
            <w:r>
              <w:rPr>
                <w:rFonts w:ascii="宋体" w:hAnsi="宋体" w:cstheme="minorBidi"/>
                <w:b w:val="0"/>
                <w:bCs w:val="0"/>
                <w:sz w:val="21"/>
                <w:szCs w:val="21"/>
              </w:rPr>
              <w:t>月度</w:t>
            </w:r>
            <w:r>
              <w:rPr>
                <w:rFonts w:hint="eastAsia" w:ascii="宋体" w:hAnsi="宋体" w:cstheme="minorBidi"/>
                <w:b w:val="0"/>
                <w:bCs w:val="0"/>
                <w:sz w:val="21"/>
                <w:szCs w:val="21"/>
              </w:rPr>
              <w:t>、年度</w:t>
            </w:r>
            <w:r>
              <w:rPr>
                <w:rFonts w:ascii="宋体" w:hAnsi="宋体" w:cstheme="minorBidi"/>
                <w:b w:val="0"/>
                <w:bCs w:val="0"/>
                <w:sz w:val="21"/>
                <w:szCs w:val="21"/>
              </w:rPr>
              <w:t>任务完成情况，</w:t>
            </w:r>
            <w:r>
              <w:rPr>
                <w:rFonts w:hint="eastAsia" w:ascii="宋体" w:hAnsi="宋体" w:cstheme="minorBidi"/>
                <w:b w:val="0"/>
                <w:bCs w:val="0"/>
                <w:sz w:val="21"/>
                <w:szCs w:val="21"/>
              </w:rPr>
              <w:t>包括</w:t>
            </w:r>
            <w:r>
              <w:rPr>
                <w:rFonts w:ascii="宋体" w:hAnsi="宋体" w:cstheme="minorBidi"/>
                <w:b w:val="0"/>
                <w:bCs w:val="0"/>
                <w:sz w:val="21"/>
                <w:szCs w:val="21"/>
              </w:rPr>
              <w:t>集采任务完成</w:t>
            </w:r>
            <w:r>
              <w:rPr>
                <w:rFonts w:hint="eastAsia" w:ascii="宋体" w:hAnsi="宋体" w:cstheme="minorBidi"/>
                <w:b w:val="0"/>
                <w:bCs w:val="0"/>
                <w:sz w:val="21"/>
                <w:szCs w:val="21"/>
              </w:rPr>
              <w:t>前十名</w:t>
            </w:r>
            <w:r>
              <w:rPr>
                <w:rFonts w:ascii="宋体" w:hAnsi="宋体" w:cstheme="minorBidi"/>
                <w:b w:val="0"/>
                <w:bCs w:val="0"/>
                <w:sz w:val="21"/>
                <w:szCs w:val="21"/>
              </w:rPr>
              <w:t>和后</w:t>
            </w:r>
            <w:r>
              <w:rPr>
                <w:rFonts w:hint="eastAsia" w:ascii="宋体" w:hAnsi="宋体" w:cstheme="minorBidi"/>
                <w:b w:val="0"/>
                <w:bCs w:val="0"/>
                <w:sz w:val="21"/>
                <w:szCs w:val="21"/>
              </w:rPr>
              <w:t>十</w:t>
            </w:r>
            <w:r>
              <w:rPr>
                <w:rFonts w:ascii="宋体" w:hAnsi="宋体" w:cstheme="minorBidi"/>
                <w:b w:val="0"/>
                <w:bCs w:val="0"/>
                <w:sz w:val="21"/>
                <w:szCs w:val="21"/>
              </w:rPr>
              <w:t>名的药品、科室</w:t>
            </w:r>
            <w:r>
              <w:rPr>
                <w:rFonts w:hint="eastAsia" w:ascii="宋体" w:hAnsi="宋体" w:cstheme="minorBidi"/>
                <w:b w:val="0"/>
                <w:bCs w:val="0"/>
                <w:sz w:val="21"/>
                <w:szCs w:val="21"/>
              </w:rPr>
              <w:t>，集采</w:t>
            </w:r>
            <w:r>
              <w:rPr>
                <w:rFonts w:hint="eastAsia" w:ascii="宋体" w:hAnsi="宋体" w:cstheme="minorBidi"/>
                <w:b w:val="0"/>
                <w:bCs w:val="0"/>
                <w:sz w:val="21"/>
                <w:szCs w:val="21"/>
                <w:lang w:val="en-US" w:eastAsia="zh-CN"/>
              </w:rPr>
              <w:t>/</w:t>
            </w:r>
            <w:r>
              <w:rPr>
                <w:rFonts w:hint="eastAsia" w:ascii="宋体" w:hAnsi="宋体" w:cstheme="minorBidi"/>
                <w:b w:val="0"/>
                <w:bCs w:val="0"/>
                <w:sz w:val="21"/>
                <w:szCs w:val="21"/>
              </w:rPr>
              <w:t>非集采药品使用量占比情况，</w:t>
            </w:r>
            <w:r>
              <w:rPr>
                <w:rFonts w:ascii="宋体" w:hAnsi="宋体" w:cstheme="minorBidi"/>
                <w:b w:val="0"/>
                <w:bCs w:val="0"/>
                <w:sz w:val="21"/>
                <w:szCs w:val="21"/>
              </w:rPr>
              <w:t>并可查看药品、科室完成进度的全部排名。</w:t>
            </w:r>
          </w:p>
        </w:tc>
      </w:tr>
      <w:bookmarkEnd w:id="0"/>
      <w:tr w14:paraId="7981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256FFB5">
            <w:pPr>
              <w:pStyle w:val="18"/>
              <w:numPr>
                <w:ilvl w:val="0"/>
                <w:numId w:val="2"/>
              </w:numPr>
              <w:spacing w:line="360" w:lineRule="auto"/>
              <w:ind w:left="0" w:firstLine="0" w:firstLineChars="0"/>
              <w:rPr>
                <w:rFonts w:hint="eastAsia" w:ascii="宋体" w:hAnsi="宋体" w:eastAsia="宋体"/>
                <w:szCs w:val="21"/>
              </w:rPr>
            </w:pPr>
          </w:p>
        </w:tc>
        <w:tc>
          <w:tcPr>
            <w:tcW w:w="1560" w:type="dxa"/>
            <w:vAlign w:val="center"/>
          </w:tcPr>
          <w:p w14:paraId="21087A19">
            <w:pPr>
              <w:spacing w:line="360" w:lineRule="auto"/>
              <w:rPr>
                <w:rFonts w:hint="eastAsia" w:ascii="宋体" w:hAnsi="宋体" w:eastAsia="宋体"/>
                <w:szCs w:val="21"/>
              </w:rPr>
            </w:pPr>
            <w:r>
              <w:rPr>
                <w:rFonts w:hint="eastAsia" w:ascii="宋体" w:hAnsi="宋体" w:eastAsia="宋体"/>
                <w:szCs w:val="21"/>
              </w:rPr>
              <w:t>动态</w:t>
            </w:r>
            <w:r>
              <w:rPr>
                <w:rFonts w:ascii="宋体" w:hAnsi="宋体" w:eastAsia="宋体"/>
                <w:szCs w:val="21"/>
              </w:rPr>
              <w:t>提醒</w:t>
            </w:r>
          </w:p>
        </w:tc>
        <w:tc>
          <w:tcPr>
            <w:tcW w:w="6287" w:type="dxa"/>
            <w:vAlign w:val="center"/>
          </w:tcPr>
          <w:p w14:paraId="4B20E4B9">
            <w:pPr>
              <w:pStyle w:val="3"/>
              <w:rPr>
                <w:rFonts w:hint="eastAsia" w:ascii="宋体" w:hAnsi="宋体" w:cs="Arial"/>
                <w:b w:val="0"/>
                <w:bCs w:val="0"/>
                <w:sz w:val="21"/>
                <w:szCs w:val="21"/>
              </w:rPr>
            </w:pPr>
            <w:r>
              <w:rPr>
                <w:rFonts w:hint="eastAsia" w:ascii="宋体" w:hAnsi="宋体" w:eastAsia="宋体" w:cs="Arial"/>
                <w:bCs/>
                <w:color w:val="auto"/>
                <w:sz w:val="21"/>
                <w:szCs w:val="21"/>
                <w:highlight w:val="none"/>
              </w:rPr>
              <w:t>▲</w:t>
            </w:r>
            <w:r>
              <w:rPr>
                <w:rFonts w:hint="eastAsia" w:ascii="宋体" w:hAnsi="宋体" w:cs="Arial"/>
                <w:b w:val="0"/>
                <w:bCs w:val="0"/>
                <w:sz w:val="21"/>
                <w:szCs w:val="21"/>
              </w:rPr>
              <w:t>系统应能智能分析院内集采药品使用情况，主动将疑似异常的情况进行推送，如某科室任务完成度过低、未分配任务的科室集采药品使用量高等，以作为集采任务调整的依据。</w:t>
            </w:r>
          </w:p>
        </w:tc>
      </w:tr>
      <w:tr w14:paraId="19BA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FB29FBC">
            <w:pPr>
              <w:pStyle w:val="18"/>
              <w:numPr>
                <w:ilvl w:val="0"/>
                <w:numId w:val="2"/>
              </w:numPr>
              <w:spacing w:line="360" w:lineRule="auto"/>
              <w:ind w:left="0" w:firstLine="0" w:firstLineChars="0"/>
              <w:rPr>
                <w:rFonts w:hint="eastAsia" w:ascii="宋体" w:hAnsi="宋体" w:eastAsia="宋体"/>
                <w:szCs w:val="21"/>
              </w:rPr>
            </w:pPr>
            <w:bookmarkStart w:id="1" w:name="_Hlk109920935"/>
          </w:p>
        </w:tc>
        <w:tc>
          <w:tcPr>
            <w:tcW w:w="1560" w:type="dxa"/>
            <w:vAlign w:val="center"/>
          </w:tcPr>
          <w:p w14:paraId="0580A100">
            <w:pPr>
              <w:spacing w:line="360" w:lineRule="auto"/>
              <w:rPr>
                <w:rFonts w:hint="eastAsia" w:ascii="宋体" w:hAnsi="宋体" w:eastAsia="宋体" w:cs="Arial"/>
                <w:szCs w:val="21"/>
              </w:rPr>
            </w:pPr>
            <w:r>
              <w:rPr>
                <w:rFonts w:ascii="宋体" w:hAnsi="宋体" w:eastAsia="宋体" w:cs="Arial"/>
                <w:szCs w:val="21"/>
              </w:rPr>
              <w:t>任务分配</w:t>
            </w:r>
          </w:p>
        </w:tc>
        <w:tc>
          <w:tcPr>
            <w:tcW w:w="6287" w:type="dxa"/>
            <w:vAlign w:val="center"/>
          </w:tcPr>
          <w:p w14:paraId="1D979F9A">
            <w:pPr>
              <w:pStyle w:val="3"/>
              <w:numPr>
                <w:ilvl w:val="0"/>
                <w:numId w:val="3"/>
              </w:numPr>
              <w:ind w:left="357" w:hanging="357"/>
              <w:rPr>
                <w:rFonts w:hint="eastAsia" w:ascii="宋体" w:hAnsi="宋体" w:cs="Arial"/>
                <w:b w:val="0"/>
                <w:bCs w:val="0"/>
                <w:sz w:val="21"/>
                <w:szCs w:val="21"/>
              </w:rPr>
            </w:pPr>
            <w:r>
              <w:rPr>
                <w:rFonts w:hint="eastAsia" w:ascii="宋体" w:hAnsi="宋体" w:eastAsia="宋体" w:cs="Arial"/>
                <w:bCs/>
                <w:color w:val="auto"/>
                <w:sz w:val="21"/>
                <w:szCs w:val="21"/>
                <w:highlight w:val="none"/>
              </w:rPr>
              <w:t>▲</w:t>
            </w:r>
            <w:r>
              <w:rPr>
                <w:rFonts w:ascii="宋体" w:hAnsi="宋体" w:cs="Arial"/>
                <w:b w:val="0"/>
                <w:bCs w:val="0"/>
                <w:sz w:val="21"/>
                <w:szCs w:val="21"/>
              </w:rPr>
              <w:t>系统能根据集采药品在院内的历史使用情况，自动测算全院、大科室、科室、病区、医疗组、医生的月任务量</w:t>
            </w:r>
            <w:r>
              <w:rPr>
                <w:rFonts w:hint="eastAsia" w:ascii="宋体" w:hAnsi="宋体" w:cs="Arial"/>
                <w:b w:val="0"/>
                <w:bCs w:val="0"/>
                <w:sz w:val="21"/>
                <w:szCs w:val="21"/>
              </w:rPr>
              <w:t>。支持用户通过Excel批量导入任务量。</w:t>
            </w:r>
          </w:p>
          <w:p w14:paraId="61DB5538">
            <w:pPr>
              <w:pStyle w:val="3"/>
              <w:numPr>
                <w:ilvl w:val="0"/>
                <w:numId w:val="3"/>
              </w:numPr>
              <w:ind w:left="357" w:hanging="357"/>
              <w:rPr>
                <w:b w:val="0"/>
                <w:bCs w:val="0"/>
                <w:sz w:val="21"/>
                <w:szCs w:val="22"/>
              </w:rPr>
            </w:pPr>
            <w:r>
              <w:rPr>
                <w:rFonts w:hint="eastAsia"/>
                <w:b w:val="0"/>
                <w:bCs w:val="0"/>
                <w:sz w:val="21"/>
                <w:szCs w:val="22"/>
              </w:rPr>
              <w:t>支持设置任务测算所参考的历史数据时间范围以及参考药品类型。应能支持设置任务的执行周期，设置任务测算的月份数。</w:t>
            </w:r>
          </w:p>
          <w:p w14:paraId="0DEF15E0">
            <w:pPr>
              <w:pStyle w:val="3"/>
              <w:numPr>
                <w:ilvl w:val="0"/>
                <w:numId w:val="3"/>
              </w:numPr>
              <w:ind w:left="357" w:hanging="357"/>
              <w:rPr>
                <w:b w:val="0"/>
                <w:bCs w:val="0"/>
                <w:sz w:val="21"/>
                <w:szCs w:val="22"/>
              </w:rPr>
            </w:pPr>
            <w:r>
              <w:rPr>
                <w:rFonts w:hint="eastAsia" w:ascii="宋体" w:hAnsi="宋体" w:eastAsia="宋体" w:cs="Arial"/>
                <w:bCs/>
                <w:color w:val="auto"/>
                <w:sz w:val="21"/>
                <w:szCs w:val="21"/>
                <w:highlight w:val="none"/>
              </w:rPr>
              <w:t>▲</w:t>
            </w:r>
            <w:r>
              <w:rPr>
                <w:rFonts w:hint="eastAsia"/>
                <w:b w:val="0"/>
                <w:bCs w:val="0"/>
                <w:sz w:val="21"/>
                <w:szCs w:val="22"/>
              </w:rPr>
              <w:t>可设置不参与集采任务分配的科室名单。</w:t>
            </w:r>
          </w:p>
          <w:p w14:paraId="4477A258">
            <w:pPr>
              <w:pStyle w:val="18"/>
              <w:numPr>
                <w:ilvl w:val="0"/>
                <w:numId w:val="3"/>
              </w:numPr>
              <w:spacing w:line="360" w:lineRule="auto"/>
              <w:ind w:left="357" w:hanging="357" w:firstLineChars="0"/>
            </w:pPr>
            <w:r>
              <w:rPr>
                <w:rFonts w:hint="eastAsia"/>
              </w:rPr>
              <w:t>支持直接应用系统测算值，也可人工对测算结果修改后应用。支持测算结果自动取整应用。</w:t>
            </w:r>
          </w:p>
          <w:p w14:paraId="15007992">
            <w:pPr>
              <w:pStyle w:val="18"/>
              <w:numPr>
                <w:ilvl w:val="0"/>
                <w:numId w:val="3"/>
              </w:numPr>
              <w:spacing w:line="360" w:lineRule="auto"/>
              <w:ind w:left="357" w:hanging="357" w:firstLineChars="0"/>
              <w:rPr>
                <w:b/>
                <w:bCs/>
              </w:rPr>
            </w:pPr>
            <w:r>
              <w:rPr>
                <w:rFonts w:hint="eastAsia"/>
              </w:rPr>
              <w:t>支持查看历史任务量，系统能自动记录任务变化前后数值。</w:t>
            </w:r>
          </w:p>
          <w:p w14:paraId="352612F6">
            <w:pPr>
              <w:pStyle w:val="18"/>
              <w:numPr>
                <w:ilvl w:val="0"/>
                <w:numId w:val="3"/>
              </w:numPr>
              <w:spacing w:line="360" w:lineRule="auto"/>
              <w:ind w:left="357" w:hanging="357" w:firstLineChars="0"/>
              <w:rPr>
                <w:b/>
                <w:bCs/>
              </w:rPr>
            </w:pPr>
            <w:r>
              <w:rPr>
                <w:rFonts w:hint="eastAsia"/>
              </w:rPr>
              <w:t>任务分配结束后，应可及时通知到对应科室。</w:t>
            </w:r>
          </w:p>
        </w:tc>
      </w:tr>
      <w:tr w14:paraId="42050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restart"/>
            <w:vAlign w:val="center"/>
          </w:tcPr>
          <w:p w14:paraId="7C3F5FA0">
            <w:pPr>
              <w:pStyle w:val="18"/>
              <w:numPr>
                <w:ilvl w:val="0"/>
                <w:numId w:val="2"/>
              </w:numPr>
              <w:spacing w:line="360" w:lineRule="auto"/>
              <w:ind w:left="0" w:firstLine="0" w:firstLineChars="0"/>
              <w:rPr>
                <w:rFonts w:hint="eastAsia" w:ascii="宋体" w:hAnsi="宋体" w:eastAsia="宋体"/>
                <w:szCs w:val="21"/>
              </w:rPr>
            </w:pPr>
          </w:p>
        </w:tc>
        <w:tc>
          <w:tcPr>
            <w:tcW w:w="1560" w:type="dxa"/>
            <w:vMerge w:val="restart"/>
            <w:vAlign w:val="center"/>
          </w:tcPr>
          <w:p w14:paraId="7A1C06B0">
            <w:pPr>
              <w:spacing w:line="360" w:lineRule="auto"/>
              <w:rPr>
                <w:rFonts w:hint="eastAsia" w:ascii="宋体" w:hAnsi="宋体" w:eastAsia="宋体" w:cs="Arial"/>
                <w:szCs w:val="21"/>
              </w:rPr>
            </w:pPr>
            <w:r>
              <w:rPr>
                <w:rFonts w:ascii="宋体" w:hAnsi="宋体" w:eastAsia="宋体" w:cs="Arial"/>
                <w:szCs w:val="21"/>
              </w:rPr>
              <w:t>规则管理</w:t>
            </w:r>
          </w:p>
        </w:tc>
        <w:tc>
          <w:tcPr>
            <w:tcW w:w="6287" w:type="dxa"/>
            <w:vAlign w:val="center"/>
          </w:tcPr>
          <w:p w14:paraId="22A62854">
            <w:pPr>
              <w:pStyle w:val="3"/>
              <w:numPr>
                <w:ilvl w:val="0"/>
                <w:numId w:val="4"/>
              </w:numPr>
              <w:rPr>
                <w:rFonts w:hint="eastAsia" w:ascii="宋体" w:hAnsi="宋体" w:cs="Arial"/>
                <w:b w:val="0"/>
                <w:bCs w:val="0"/>
                <w:sz w:val="21"/>
                <w:szCs w:val="21"/>
              </w:rPr>
            </w:pPr>
            <w:r>
              <w:rPr>
                <w:rFonts w:hint="eastAsia" w:ascii="宋体" w:hAnsi="宋体" w:eastAsia="宋体" w:cs="Arial"/>
                <w:bCs/>
                <w:color w:val="auto"/>
                <w:sz w:val="21"/>
                <w:szCs w:val="21"/>
                <w:highlight w:val="none"/>
              </w:rPr>
              <w:t>▲</w:t>
            </w:r>
            <w:r>
              <w:rPr>
                <w:rFonts w:ascii="宋体" w:hAnsi="宋体" w:cs="Arial"/>
                <w:b w:val="0"/>
                <w:bCs w:val="0"/>
                <w:sz w:val="21"/>
                <w:szCs w:val="21"/>
              </w:rPr>
              <w:t>系统支持分级管控，能根据任务完成进度设置管控效果，如拦截医生处方不能开出、向医生弹框警示、不作提示等。</w:t>
            </w:r>
          </w:p>
          <w:p w14:paraId="7094FAEE">
            <w:pPr>
              <w:pStyle w:val="18"/>
              <w:numPr>
                <w:ilvl w:val="0"/>
                <w:numId w:val="4"/>
              </w:numPr>
              <w:spacing w:line="360" w:lineRule="auto"/>
              <w:ind w:firstLineChars="0"/>
              <w:rPr>
                <w:b/>
                <w:bCs/>
              </w:rPr>
            </w:pPr>
            <w:r>
              <w:rPr>
                <w:rFonts w:hint="eastAsia"/>
              </w:rPr>
              <w:t>完成进度支持按月或按阶段进行计算。</w:t>
            </w:r>
          </w:p>
        </w:tc>
      </w:tr>
      <w:tr w14:paraId="76E0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1BF63132">
            <w:pPr>
              <w:pStyle w:val="18"/>
              <w:numPr>
                <w:ilvl w:val="0"/>
                <w:numId w:val="2"/>
              </w:numPr>
              <w:spacing w:line="360" w:lineRule="auto"/>
              <w:ind w:left="0" w:firstLine="0" w:firstLineChars="0"/>
              <w:rPr>
                <w:rFonts w:hint="eastAsia" w:ascii="宋体" w:hAnsi="宋体" w:eastAsia="宋体"/>
                <w:szCs w:val="21"/>
              </w:rPr>
            </w:pPr>
          </w:p>
        </w:tc>
        <w:tc>
          <w:tcPr>
            <w:tcW w:w="1560" w:type="dxa"/>
            <w:vMerge w:val="continue"/>
            <w:vAlign w:val="center"/>
          </w:tcPr>
          <w:p w14:paraId="6ED37642">
            <w:pPr>
              <w:spacing w:line="360" w:lineRule="auto"/>
              <w:rPr>
                <w:rFonts w:hint="eastAsia" w:ascii="宋体" w:hAnsi="宋体" w:eastAsia="宋体" w:cs="Arial"/>
                <w:szCs w:val="21"/>
              </w:rPr>
            </w:pPr>
          </w:p>
        </w:tc>
        <w:tc>
          <w:tcPr>
            <w:tcW w:w="6287" w:type="dxa"/>
            <w:vAlign w:val="center"/>
          </w:tcPr>
          <w:p w14:paraId="3FF91203">
            <w:pPr>
              <w:pStyle w:val="3"/>
              <w:numPr>
                <w:ilvl w:val="0"/>
                <w:numId w:val="5"/>
              </w:numPr>
              <w:rPr>
                <w:rFonts w:hint="eastAsia" w:ascii="宋体" w:hAnsi="宋体" w:cs="Arial"/>
                <w:b w:val="0"/>
                <w:bCs w:val="0"/>
                <w:sz w:val="21"/>
                <w:szCs w:val="21"/>
              </w:rPr>
            </w:pPr>
            <w:r>
              <w:rPr>
                <w:rFonts w:hint="eastAsia" w:ascii="宋体" w:hAnsi="宋体" w:eastAsia="宋体" w:cs="Arial"/>
                <w:bCs/>
                <w:color w:val="auto"/>
                <w:sz w:val="21"/>
                <w:szCs w:val="21"/>
                <w:highlight w:val="none"/>
              </w:rPr>
              <w:t>▲</w:t>
            </w:r>
            <w:r>
              <w:rPr>
                <w:rFonts w:ascii="宋体" w:hAnsi="宋体" w:cs="Arial"/>
                <w:b w:val="0"/>
                <w:bCs w:val="0"/>
                <w:sz w:val="21"/>
                <w:szCs w:val="21"/>
              </w:rPr>
              <w:t>系统支持</w:t>
            </w:r>
            <w:r>
              <w:rPr>
                <w:rFonts w:hint="eastAsia" w:ascii="宋体" w:hAnsi="宋体" w:cs="Arial"/>
                <w:b w:val="0"/>
                <w:bCs w:val="0"/>
                <w:sz w:val="21"/>
                <w:szCs w:val="21"/>
              </w:rPr>
              <w:t>从使用量和使用金额维度</w:t>
            </w:r>
            <w:r>
              <w:rPr>
                <w:rFonts w:ascii="宋体" w:hAnsi="宋体" w:cs="Arial"/>
                <w:b w:val="0"/>
                <w:bCs w:val="0"/>
                <w:sz w:val="21"/>
                <w:szCs w:val="21"/>
              </w:rPr>
              <w:t>对同一药品品种的</w:t>
            </w:r>
            <w:r>
              <w:rPr>
                <w:rFonts w:hint="eastAsia" w:ascii="宋体" w:hAnsi="宋体" w:cs="Arial"/>
                <w:b w:val="0"/>
                <w:bCs w:val="0"/>
                <w:sz w:val="21"/>
                <w:szCs w:val="21"/>
              </w:rPr>
              <w:t>中选/非中选药品使用比例进行审查，当对应药品的用量比例或金额比例低于设置值时，系统向医生发出警示。警示级别和管控效果可由用户设置。</w:t>
            </w:r>
          </w:p>
          <w:p w14:paraId="521E97FC">
            <w:pPr>
              <w:pStyle w:val="18"/>
              <w:numPr>
                <w:ilvl w:val="0"/>
                <w:numId w:val="5"/>
              </w:numPr>
              <w:spacing w:line="360" w:lineRule="auto"/>
              <w:ind w:firstLineChars="0"/>
              <w:rPr>
                <w:b/>
                <w:bCs/>
              </w:rPr>
            </w:pPr>
            <w:r>
              <w:rPr>
                <w:rFonts w:hint="eastAsia"/>
              </w:rPr>
              <w:t>比例算法支持用户设置，包括中选：非中选，中选：非中选+同类可替代等。</w:t>
            </w:r>
          </w:p>
          <w:p w14:paraId="2EF772FF">
            <w:pPr>
              <w:pStyle w:val="18"/>
              <w:numPr>
                <w:ilvl w:val="0"/>
                <w:numId w:val="5"/>
              </w:numPr>
              <w:spacing w:line="360" w:lineRule="auto"/>
              <w:ind w:firstLineChars="0"/>
              <w:rPr>
                <w:b/>
                <w:bCs/>
              </w:rPr>
            </w:pPr>
            <w:r>
              <w:rPr>
                <w:rFonts w:hint="eastAsia"/>
              </w:rPr>
              <w:t>支持设置按月或按阶段进行使用比例管控。</w:t>
            </w:r>
          </w:p>
        </w:tc>
      </w:tr>
      <w:tr w14:paraId="3AD1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01608074">
            <w:pPr>
              <w:pStyle w:val="18"/>
              <w:numPr>
                <w:ilvl w:val="0"/>
                <w:numId w:val="2"/>
              </w:numPr>
              <w:spacing w:line="360" w:lineRule="auto"/>
              <w:ind w:left="0" w:firstLine="0" w:firstLineChars="0"/>
              <w:rPr>
                <w:rFonts w:hint="eastAsia" w:ascii="宋体" w:hAnsi="宋体" w:eastAsia="宋体"/>
                <w:szCs w:val="21"/>
              </w:rPr>
            </w:pPr>
          </w:p>
        </w:tc>
        <w:tc>
          <w:tcPr>
            <w:tcW w:w="1560" w:type="dxa"/>
            <w:vMerge w:val="continue"/>
            <w:vAlign w:val="center"/>
          </w:tcPr>
          <w:p w14:paraId="3015F68E">
            <w:pPr>
              <w:spacing w:line="360" w:lineRule="auto"/>
              <w:rPr>
                <w:rFonts w:hint="eastAsia" w:ascii="宋体" w:hAnsi="宋体" w:eastAsia="宋体" w:cs="Arial"/>
                <w:szCs w:val="21"/>
              </w:rPr>
            </w:pPr>
          </w:p>
        </w:tc>
        <w:tc>
          <w:tcPr>
            <w:tcW w:w="6287" w:type="dxa"/>
            <w:vAlign w:val="center"/>
          </w:tcPr>
          <w:p w14:paraId="05323279">
            <w:pPr>
              <w:pStyle w:val="3"/>
              <w:rPr>
                <w:rFonts w:hint="eastAsia" w:ascii="宋体" w:hAnsi="宋体" w:cs="Arial"/>
                <w:b w:val="0"/>
                <w:bCs w:val="0"/>
                <w:sz w:val="21"/>
                <w:szCs w:val="21"/>
              </w:rPr>
            </w:pPr>
            <w:r>
              <w:rPr>
                <w:rFonts w:ascii="宋体" w:hAnsi="宋体" w:cs="Arial"/>
                <w:b w:val="0"/>
                <w:bCs w:val="0"/>
                <w:sz w:val="21"/>
                <w:szCs w:val="21"/>
              </w:rPr>
              <w:t>系统支持结合历史未完成的集采任务量</w:t>
            </w:r>
            <w:r>
              <w:rPr>
                <w:rFonts w:hint="eastAsia" w:ascii="宋体" w:hAnsi="宋体" w:cs="Arial"/>
                <w:b w:val="0"/>
                <w:bCs w:val="0"/>
                <w:sz w:val="21"/>
                <w:szCs w:val="21"/>
              </w:rPr>
              <w:t>对</w:t>
            </w:r>
            <w:r>
              <w:rPr>
                <w:rFonts w:ascii="宋体" w:hAnsi="宋体" w:cs="Arial"/>
                <w:b w:val="0"/>
                <w:bCs w:val="0"/>
                <w:sz w:val="21"/>
                <w:szCs w:val="21"/>
              </w:rPr>
              <w:t>医生用药进行管控。</w:t>
            </w:r>
            <w:r>
              <w:rPr>
                <w:rFonts w:hint="eastAsia" w:ascii="宋体" w:hAnsi="宋体" w:cs="Arial"/>
                <w:b w:val="0"/>
                <w:bCs w:val="0"/>
                <w:sz w:val="21"/>
                <w:szCs w:val="21"/>
              </w:rPr>
              <w:t>应能设置按阶段或按季度进行历史未完成任务量管控。</w:t>
            </w:r>
          </w:p>
        </w:tc>
      </w:tr>
      <w:tr w14:paraId="05F9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71C466B0">
            <w:pPr>
              <w:pStyle w:val="18"/>
              <w:numPr>
                <w:ilvl w:val="0"/>
                <w:numId w:val="2"/>
              </w:numPr>
              <w:spacing w:line="360" w:lineRule="auto"/>
              <w:ind w:left="0" w:firstLine="0" w:firstLineChars="0"/>
              <w:rPr>
                <w:rFonts w:hint="eastAsia" w:ascii="宋体" w:hAnsi="宋体" w:eastAsia="宋体"/>
                <w:szCs w:val="21"/>
              </w:rPr>
            </w:pPr>
          </w:p>
        </w:tc>
        <w:tc>
          <w:tcPr>
            <w:tcW w:w="1560" w:type="dxa"/>
            <w:vMerge w:val="continue"/>
            <w:vAlign w:val="center"/>
          </w:tcPr>
          <w:p w14:paraId="38FB5087">
            <w:pPr>
              <w:spacing w:line="360" w:lineRule="auto"/>
              <w:rPr>
                <w:rFonts w:hint="eastAsia" w:ascii="宋体" w:hAnsi="宋体" w:eastAsia="宋体" w:cs="Arial"/>
                <w:szCs w:val="21"/>
              </w:rPr>
            </w:pPr>
          </w:p>
        </w:tc>
        <w:tc>
          <w:tcPr>
            <w:tcW w:w="6287" w:type="dxa"/>
            <w:vAlign w:val="center"/>
          </w:tcPr>
          <w:p w14:paraId="778476E9">
            <w:pPr>
              <w:pStyle w:val="3"/>
              <w:rPr>
                <w:rFonts w:hint="eastAsia" w:ascii="宋体" w:hAnsi="宋体" w:cs="Arial"/>
                <w:b w:val="0"/>
                <w:bCs w:val="0"/>
                <w:sz w:val="21"/>
                <w:szCs w:val="21"/>
              </w:rPr>
            </w:pPr>
            <w:r>
              <w:rPr>
                <w:rFonts w:hint="eastAsia" w:ascii="宋体" w:hAnsi="宋体" w:cs="Arial"/>
                <w:b w:val="0"/>
                <w:bCs w:val="0"/>
                <w:sz w:val="21"/>
                <w:szCs w:val="21"/>
              </w:rPr>
              <w:t>系统支持设置各科室非专科用药必须开具集采品种。</w:t>
            </w:r>
          </w:p>
        </w:tc>
      </w:tr>
      <w:tr w14:paraId="3E2E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vAlign w:val="center"/>
          </w:tcPr>
          <w:p w14:paraId="0BC54DBF">
            <w:pPr>
              <w:pStyle w:val="18"/>
              <w:numPr>
                <w:ilvl w:val="0"/>
                <w:numId w:val="2"/>
              </w:numPr>
              <w:spacing w:line="360" w:lineRule="auto"/>
              <w:ind w:left="0" w:firstLine="0" w:firstLineChars="0"/>
              <w:rPr>
                <w:rFonts w:hint="eastAsia" w:ascii="宋体" w:hAnsi="宋体" w:eastAsia="宋体"/>
                <w:szCs w:val="21"/>
              </w:rPr>
            </w:pPr>
          </w:p>
        </w:tc>
        <w:tc>
          <w:tcPr>
            <w:tcW w:w="1560" w:type="dxa"/>
            <w:vMerge w:val="continue"/>
            <w:vAlign w:val="center"/>
          </w:tcPr>
          <w:p w14:paraId="53F9695C">
            <w:pPr>
              <w:spacing w:line="360" w:lineRule="auto"/>
              <w:rPr>
                <w:rFonts w:hint="eastAsia" w:ascii="宋体" w:hAnsi="宋体" w:eastAsia="宋体" w:cs="Arial"/>
                <w:szCs w:val="21"/>
              </w:rPr>
            </w:pPr>
          </w:p>
        </w:tc>
        <w:tc>
          <w:tcPr>
            <w:tcW w:w="6287" w:type="dxa"/>
            <w:vAlign w:val="center"/>
          </w:tcPr>
          <w:p w14:paraId="3CD876A4">
            <w:pPr>
              <w:pStyle w:val="18"/>
              <w:numPr>
                <w:ilvl w:val="0"/>
                <w:numId w:val="6"/>
              </w:numPr>
              <w:spacing w:line="360" w:lineRule="auto"/>
              <w:ind w:firstLineChars="0"/>
              <w:rPr>
                <w:rFonts w:hint="eastAsia" w:ascii="宋体" w:hAnsi="宋体" w:cs="Arial"/>
                <w:b/>
                <w:bCs/>
                <w:szCs w:val="21"/>
              </w:rPr>
            </w:pPr>
            <w:r>
              <w:rPr>
                <w:rFonts w:hint="eastAsia" w:ascii="宋体" w:hAnsi="宋体" w:eastAsia="宋体" w:cs="Arial"/>
                <w:bCs/>
                <w:color w:val="auto"/>
                <w:sz w:val="21"/>
                <w:szCs w:val="21"/>
                <w:highlight w:val="none"/>
              </w:rPr>
              <w:t>▲</w:t>
            </w:r>
            <w:r>
              <w:rPr>
                <w:rFonts w:hint="eastAsia"/>
              </w:rPr>
              <w:t>系统支持根据豁免范围、医生/医生组、科室/科室组、患者、疾病、医嘱备注等条件设置管控白名单，列入白名单的对象不受集采相关规则限制。</w:t>
            </w:r>
          </w:p>
          <w:p w14:paraId="26BE24E1">
            <w:pPr>
              <w:pStyle w:val="18"/>
              <w:numPr>
                <w:ilvl w:val="0"/>
                <w:numId w:val="6"/>
              </w:numPr>
              <w:spacing w:line="360" w:lineRule="auto"/>
              <w:ind w:firstLineChars="0"/>
              <w:rPr>
                <w:rFonts w:hint="eastAsia" w:ascii="宋体" w:hAnsi="宋体" w:cs="Arial"/>
                <w:szCs w:val="21"/>
              </w:rPr>
            </w:pPr>
            <w:r>
              <w:rPr>
                <w:rFonts w:hint="eastAsia" w:ascii="宋体" w:hAnsi="宋体" w:cs="Arial"/>
                <w:szCs w:val="21"/>
              </w:rPr>
              <w:t>系统支持对慢病患者长期用药进行豁免，可按设定的周期允许其使用非中选品种。</w:t>
            </w:r>
          </w:p>
        </w:tc>
      </w:tr>
      <w:tr w14:paraId="030CD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0C4D06E">
            <w:pPr>
              <w:pStyle w:val="18"/>
              <w:numPr>
                <w:ilvl w:val="0"/>
                <w:numId w:val="2"/>
              </w:numPr>
              <w:spacing w:line="360" w:lineRule="auto"/>
              <w:ind w:left="0" w:firstLine="0" w:firstLineChars="0"/>
              <w:rPr>
                <w:rFonts w:hint="eastAsia" w:ascii="宋体" w:hAnsi="宋体" w:eastAsia="宋体"/>
                <w:szCs w:val="21"/>
              </w:rPr>
            </w:pPr>
          </w:p>
        </w:tc>
        <w:tc>
          <w:tcPr>
            <w:tcW w:w="1560" w:type="dxa"/>
            <w:vAlign w:val="center"/>
          </w:tcPr>
          <w:p w14:paraId="026B0150">
            <w:pPr>
              <w:spacing w:line="360" w:lineRule="auto"/>
              <w:rPr>
                <w:rFonts w:hint="eastAsia" w:ascii="宋体" w:hAnsi="宋体" w:eastAsia="宋体" w:cs="Arial"/>
                <w:szCs w:val="21"/>
              </w:rPr>
            </w:pPr>
            <w:r>
              <w:rPr>
                <w:rFonts w:ascii="宋体" w:hAnsi="宋体" w:eastAsia="宋体" w:cs="Arial"/>
                <w:szCs w:val="21"/>
              </w:rPr>
              <w:t>智能推送</w:t>
            </w:r>
          </w:p>
        </w:tc>
        <w:tc>
          <w:tcPr>
            <w:tcW w:w="6287" w:type="dxa"/>
            <w:vAlign w:val="center"/>
          </w:tcPr>
          <w:p w14:paraId="45B4D356">
            <w:pPr>
              <w:pStyle w:val="3"/>
              <w:rPr>
                <w:rFonts w:ascii="宋体" w:hAnsi="宋体" w:cs="Arial"/>
                <w:b w:val="0"/>
                <w:bCs w:val="0"/>
                <w:sz w:val="21"/>
                <w:szCs w:val="21"/>
              </w:rPr>
            </w:pPr>
            <w:r>
              <w:rPr>
                <w:rFonts w:ascii="宋体" w:hAnsi="宋体" w:cs="Arial"/>
                <w:b w:val="0"/>
                <w:bCs w:val="0"/>
                <w:sz w:val="21"/>
                <w:szCs w:val="21"/>
              </w:rPr>
              <w:t>系统能提供即时通讯工具，可对月任务量未达成的情况、中选</w:t>
            </w:r>
            <w:r>
              <w:rPr>
                <w:rFonts w:hint="eastAsia" w:ascii="宋体" w:hAnsi="宋体" w:cs="Arial"/>
                <w:b w:val="0"/>
                <w:bCs w:val="0"/>
                <w:sz w:val="21"/>
                <w:szCs w:val="21"/>
              </w:rPr>
              <w:t>/</w:t>
            </w:r>
            <w:r>
              <w:rPr>
                <w:rFonts w:ascii="宋体" w:hAnsi="宋体" w:cs="Arial"/>
                <w:b w:val="0"/>
                <w:bCs w:val="0"/>
                <w:sz w:val="21"/>
                <w:szCs w:val="21"/>
              </w:rPr>
              <w:t>非中选药品使用比例过低的情况推送</w:t>
            </w:r>
            <w:r>
              <w:rPr>
                <w:rFonts w:hint="eastAsia" w:ascii="宋体" w:hAnsi="宋体" w:cs="Arial"/>
                <w:b w:val="0"/>
                <w:bCs w:val="0"/>
                <w:sz w:val="21"/>
                <w:szCs w:val="21"/>
              </w:rPr>
              <w:t>到医生端</w:t>
            </w:r>
            <w:r>
              <w:rPr>
                <w:rFonts w:ascii="宋体" w:hAnsi="宋体" w:cs="Arial"/>
                <w:b w:val="0"/>
                <w:bCs w:val="0"/>
                <w:sz w:val="21"/>
                <w:szCs w:val="21"/>
              </w:rPr>
              <w:t>。</w:t>
            </w:r>
          </w:p>
          <w:p w14:paraId="61E69803">
            <w:pPr>
              <w:pStyle w:val="3"/>
              <w:rPr>
                <w:rFonts w:hint="eastAsia" w:ascii="宋体" w:hAnsi="宋体" w:cs="Arial"/>
                <w:b w:val="0"/>
                <w:bCs w:val="0"/>
                <w:sz w:val="21"/>
                <w:szCs w:val="21"/>
              </w:rPr>
            </w:pPr>
            <w:r>
              <w:rPr>
                <w:rFonts w:hint="eastAsia" w:ascii="宋体" w:hAnsi="宋体" w:eastAsia="宋体" w:cs="Arial"/>
                <w:bCs/>
                <w:color w:val="auto"/>
                <w:sz w:val="21"/>
                <w:szCs w:val="21"/>
                <w:highlight w:val="none"/>
              </w:rPr>
              <w:t>▲</w:t>
            </w:r>
            <w:r>
              <w:rPr>
                <w:rFonts w:hint="eastAsia" w:ascii="宋体" w:hAnsi="宋体" w:cs="Arial"/>
                <w:b w:val="0"/>
                <w:bCs w:val="0"/>
                <w:sz w:val="21"/>
                <w:szCs w:val="21"/>
              </w:rPr>
              <w:t>推送标准和</w:t>
            </w:r>
            <w:r>
              <w:rPr>
                <w:rFonts w:ascii="宋体" w:hAnsi="宋体" w:cs="Arial"/>
                <w:b w:val="0"/>
                <w:bCs w:val="0"/>
                <w:sz w:val="21"/>
                <w:szCs w:val="21"/>
              </w:rPr>
              <w:t>推送时间</w:t>
            </w:r>
            <w:r>
              <w:rPr>
                <w:rFonts w:hint="eastAsia" w:ascii="宋体" w:hAnsi="宋体" w:cs="Arial"/>
                <w:b w:val="0"/>
                <w:bCs w:val="0"/>
                <w:sz w:val="21"/>
                <w:szCs w:val="21"/>
              </w:rPr>
              <w:t>可由</w:t>
            </w:r>
            <w:r>
              <w:rPr>
                <w:rFonts w:ascii="宋体" w:hAnsi="宋体" w:cs="Arial"/>
                <w:b w:val="0"/>
                <w:bCs w:val="0"/>
                <w:sz w:val="21"/>
                <w:szCs w:val="21"/>
              </w:rPr>
              <w:t>用户</w:t>
            </w:r>
            <w:r>
              <w:rPr>
                <w:rFonts w:hint="eastAsia" w:ascii="宋体" w:hAnsi="宋体" w:cs="Arial"/>
                <w:b w:val="0"/>
                <w:bCs w:val="0"/>
                <w:sz w:val="21"/>
                <w:szCs w:val="21"/>
              </w:rPr>
              <w:t>自行</w:t>
            </w:r>
            <w:r>
              <w:rPr>
                <w:rFonts w:ascii="宋体" w:hAnsi="宋体" w:cs="Arial"/>
                <w:b w:val="0"/>
                <w:bCs w:val="0"/>
                <w:sz w:val="21"/>
                <w:szCs w:val="21"/>
              </w:rPr>
              <w:t>设置。</w:t>
            </w:r>
          </w:p>
        </w:tc>
      </w:tr>
      <w:tr w14:paraId="2235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9790463">
            <w:pPr>
              <w:pStyle w:val="18"/>
              <w:numPr>
                <w:ilvl w:val="0"/>
                <w:numId w:val="2"/>
              </w:numPr>
              <w:spacing w:line="360" w:lineRule="auto"/>
              <w:ind w:left="0" w:firstLine="0" w:firstLineChars="0"/>
              <w:rPr>
                <w:rFonts w:hint="eastAsia" w:ascii="宋体" w:hAnsi="宋体" w:eastAsia="宋体"/>
                <w:szCs w:val="21"/>
              </w:rPr>
            </w:pPr>
          </w:p>
        </w:tc>
        <w:tc>
          <w:tcPr>
            <w:tcW w:w="1560" w:type="dxa"/>
            <w:vAlign w:val="center"/>
          </w:tcPr>
          <w:p w14:paraId="232C520A">
            <w:pPr>
              <w:spacing w:line="360" w:lineRule="auto"/>
              <w:rPr>
                <w:rFonts w:hint="eastAsia" w:ascii="宋体" w:hAnsi="宋体" w:eastAsia="宋体" w:cs="Arial"/>
                <w:szCs w:val="21"/>
              </w:rPr>
            </w:pPr>
            <w:r>
              <w:rPr>
                <w:rFonts w:ascii="宋体" w:hAnsi="宋体" w:eastAsia="宋体" w:cs="Arial"/>
                <w:szCs w:val="21"/>
              </w:rPr>
              <w:t>统计分析</w:t>
            </w:r>
          </w:p>
        </w:tc>
        <w:tc>
          <w:tcPr>
            <w:tcW w:w="6287" w:type="dxa"/>
            <w:vAlign w:val="center"/>
          </w:tcPr>
          <w:p w14:paraId="5F600E8C">
            <w:pPr>
              <w:pStyle w:val="3"/>
              <w:rPr>
                <w:rFonts w:hint="eastAsia" w:ascii="宋体" w:hAnsi="宋体" w:cs="Arial"/>
                <w:b w:val="0"/>
                <w:bCs w:val="0"/>
                <w:sz w:val="21"/>
                <w:szCs w:val="21"/>
              </w:rPr>
            </w:pPr>
            <w:r>
              <w:rPr>
                <w:rFonts w:ascii="宋体" w:hAnsi="宋体" w:cs="Arial"/>
                <w:b w:val="0"/>
                <w:bCs w:val="0"/>
                <w:sz w:val="21"/>
                <w:szCs w:val="21"/>
              </w:rPr>
              <w:t>系统可对集采用量规则审查出的用药问题进行统计，</w:t>
            </w:r>
            <w:r>
              <w:rPr>
                <w:rFonts w:hint="eastAsia" w:ascii="宋体" w:hAnsi="宋体" w:cs="Arial"/>
                <w:b w:val="0"/>
                <w:bCs w:val="0"/>
                <w:sz w:val="21"/>
                <w:szCs w:val="21"/>
              </w:rPr>
              <w:t>可提供集采药品使用监测、采购监测、集采药品使用情况记录等报表，可统计集中采购药品相关评价指标，并可导出为EXCEL。</w:t>
            </w:r>
          </w:p>
          <w:p w14:paraId="09DA8DD1">
            <w:pPr>
              <w:pStyle w:val="18"/>
              <w:numPr>
                <w:ilvl w:val="0"/>
                <w:numId w:val="7"/>
              </w:numPr>
              <w:spacing w:line="360" w:lineRule="auto"/>
              <w:ind w:firstLineChars="0"/>
            </w:pPr>
            <w:r>
              <w:rPr>
                <w:rFonts w:hint="eastAsia" w:ascii="宋体" w:hAnsi="宋体" w:eastAsia="宋体" w:cs="Arial"/>
                <w:bCs/>
                <w:color w:val="auto"/>
                <w:sz w:val="21"/>
                <w:szCs w:val="21"/>
                <w:highlight w:val="none"/>
              </w:rPr>
              <w:t>▲</w:t>
            </w:r>
            <w:r>
              <w:rPr>
                <w:rFonts w:hint="eastAsia"/>
              </w:rPr>
              <w:t>可从全院、大科室、科室、病区、医疗组、医生维度统计集采药品使用情况；</w:t>
            </w:r>
          </w:p>
          <w:p w14:paraId="0CBCEF7E">
            <w:pPr>
              <w:pStyle w:val="18"/>
              <w:numPr>
                <w:ilvl w:val="0"/>
                <w:numId w:val="7"/>
              </w:numPr>
              <w:spacing w:line="360" w:lineRule="auto"/>
              <w:ind w:firstLineChars="0"/>
            </w:pPr>
            <w:r>
              <w:rPr>
                <w:rFonts w:hint="eastAsia"/>
              </w:rPr>
              <w:t>可按月、按阶段、按年统计集采任务完成情况；</w:t>
            </w:r>
          </w:p>
          <w:p w14:paraId="64E54402">
            <w:pPr>
              <w:pStyle w:val="18"/>
              <w:numPr>
                <w:ilvl w:val="0"/>
                <w:numId w:val="7"/>
              </w:numPr>
              <w:spacing w:line="360" w:lineRule="auto"/>
              <w:ind w:firstLineChars="0"/>
            </w:pPr>
            <w:r>
              <w:rPr>
                <w:rFonts w:hint="eastAsia" w:ascii="宋体" w:hAnsi="宋体" w:eastAsia="宋体" w:cs="Arial"/>
                <w:bCs/>
                <w:color w:val="auto"/>
                <w:sz w:val="21"/>
                <w:szCs w:val="21"/>
                <w:highlight w:val="none"/>
              </w:rPr>
              <w:t>▲</w:t>
            </w:r>
            <w:r>
              <w:rPr>
                <w:rFonts w:hint="eastAsia"/>
              </w:rPr>
              <w:t>可统计集采中选任务量、使用量、完成进度、非中选使用量、同类可替代使用量、中选用量占比、中选使用金额、非中选使用金额、同类可替代使用金额、中选金额占比等指标；</w:t>
            </w:r>
          </w:p>
          <w:p w14:paraId="4915DFDB">
            <w:pPr>
              <w:pStyle w:val="18"/>
              <w:numPr>
                <w:ilvl w:val="0"/>
                <w:numId w:val="7"/>
              </w:numPr>
              <w:spacing w:line="360" w:lineRule="auto"/>
              <w:ind w:firstLineChars="0"/>
            </w:pPr>
            <w:r>
              <w:rPr>
                <w:rFonts w:hint="eastAsia" w:ascii="宋体" w:hAnsi="宋体" w:eastAsia="宋体" w:cs="Arial"/>
                <w:bCs/>
                <w:color w:val="auto"/>
                <w:sz w:val="21"/>
                <w:szCs w:val="21"/>
                <w:highlight w:val="none"/>
              </w:rPr>
              <w:t>▲</w:t>
            </w:r>
            <w:r>
              <w:rPr>
                <w:rFonts w:hint="eastAsia"/>
              </w:rPr>
              <w:t>可统计各批次的中选采购量占比、中选采购金额占比、非中选采购量占比、非中选采购金额占比；</w:t>
            </w:r>
          </w:p>
          <w:p w14:paraId="026CB72F">
            <w:pPr>
              <w:pStyle w:val="18"/>
              <w:numPr>
                <w:ilvl w:val="0"/>
                <w:numId w:val="7"/>
              </w:numPr>
              <w:spacing w:line="360" w:lineRule="auto"/>
              <w:ind w:firstLineChars="0"/>
            </w:pPr>
            <w:r>
              <w:rPr>
                <w:rFonts w:hint="eastAsia"/>
              </w:rPr>
              <w:t>可统计国家组织药品集中采购中标药品金额占比、国家组织药品集中采购中标药品使用比例、国家组织药品集中采购中选药品完成比例、国家组织药品集中采购中标药品使用比例超50%的品种占比等指标；</w:t>
            </w:r>
          </w:p>
          <w:p w14:paraId="017638BC">
            <w:pPr>
              <w:pStyle w:val="18"/>
              <w:numPr>
                <w:ilvl w:val="0"/>
                <w:numId w:val="7"/>
              </w:numPr>
              <w:spacing w:line="360" w:lineRule="auto"/>
              <w:ind w:firstLineChars="0"/>
              <w:rPr>
                <w:b/>
                <w:bCs/>
              </w:rPr>
            </w:pPr>
            <w:r>
              <w:rPr>
                <w:rFonts w:hint="eastAsia"/>
              </w:rPr>
              <w:t>提供自定义报表功能。</w:t>
            </w:r>
          </w:p>
        </w:tc>
      </w:tr>
      <w:tr w14:paraId="283C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B9BF8A4">
            <w:pPr>
              <w:pStyle w:val="18"/>
              <w:numPr>
                <w:ilvl w:val="0"/>
                <w:numId w:val="2"/>
              </w:numPr>
              <w:spacing w:line="360" w:lineRule="auto"/>
              <w:ind w:left="0" w:firstLine="0" w:firstLineChars="0"/>
              <w:rPr>
                <w:rFonts w:hint="eastAsia" w:ascii="宋体" w:hAnsi="宋体" w:eastAsia="宋体"/>
                <w:szCs w:val="21"/>
              </w:rPr>
            </w:pPr>
          </w:p>
        </w:tc>
        <w:tc>
          <w:tcPr>
            <w:tcW w:w="1560" w:type="dxa"/>
            <w:vAlign w:val="center"/>
          </w:tcPr>
          <w:p w14:paraId="0720A97B">
            <w:pPr>
              <w:spacing w:line="360" w:lineRule="auto"/>
              <w:rPr>
                <w:rFonts w:hint="eastAsia" w:ascii="宋体" w:hAnsi="宋体" w:eastAsia="宋体" w:cs="Arial"/>
                <w:szCs w:val="21"/>
              </w:rPr>
            </w:pPr>
            <w:r>
              <w:rPr>
                <w:rFonts w:hint="eastAsia" w:ascii="宋体" w:hAnsi="宋体" w:eastAsia="宋体" w:cs="Arial"/>
                <w:szCs w:val="21"/>
              </w:rPr>
              <w:t>报量测算</w:t>
            </w:r>
          </w:p>
        </w:tc>
        <w:tc>
          <w:tcPr>
            <w:tcW w:w="6287" w:type="dxa"/>
            <w:vAlign w:val="center"/>
          </w:tcPr>
          <w:p w14:paraId="295042A6">
            <w:pPr>
              <w:pStyle w:val="3"/>
              <w:numPr>
                <w:ilvl w:val="0"/>
                <w:numId w:val="8"/>
              </w:numPr>
              <w:ind w:left="0" w:firstLine="0"/>
              <w:rPr>
                <w:rFonts w:hint="eastAsia" w:ascii="宋体" w:hAnsi="宋体" w:cs="Arial"/>
                <w:b w:val="0"/>
                <w:bCs w:val="0"/>
                <w:sz w:val="21"/>
                <w:szCs w:val="21"/>
              </w:rPr>
            </w:pPr>
            <w:r>
              <w:rPr>
                <w:rFonts w:hint="eastAsia" w:ascii="宋体" w:hAnsi="宋体" w:eastAsia="宋体" w:cs="Arial"/>
                <w:bCs/>
                <w:color w:val="auto"/>
                <w:sz w:val="21"/>
                <w:szCs w:val="21"/>
                <w:highlight w:val="none"/>
              </w:rPr>
              <w:t>▲</w:t>
            </w:r>
            <w:r>
              <w:rPr>
                <w:rFonts w:hint="eastAsia" w:ascii="宋体" w:hAnsi="宋体" w:cs="Arial"/>
                <w:b w:val="0"/>
                <w:bCs w:val="0"/>
                <w:sz w:val="21"/>
                <w:szCs w:val="21"/>
              </w:rPr>
              <w:t>支持根据院内集采药品历史使用情况，进行报量测算。</w:t>
            </w:r>
          </w:p>
          <w:p w14:paraId="6D9AE843">
            <w:pPr>
              <w:pStyle w:val="3"/>
              <w:numPr>
                <w:ilvl w:val="0"/>
                <w:numId w:val="8"/>
              </w:numPr>
              <w:ind w:left="0" w:firstLine="0"/>
              <w:rPr>
                <w:rFonts w:hint="eastAsia" w:ascii="宋体" w:hAnsi="宋体" w:cs="Arial"/>
                <w:b w:val="0"/>
                <w:bCs w:val="0"/>
                <w:sz w:val="21"/>
                <w:szCs w:val="21"/>
              </w:rPr>
            </w:pPr>
            <w:r>
              <w:rPr>
                <w:rFonts w:hint="eastAsia" w:ascii="宋体" w:hAnsi="宋体" w:cs="Arial"/>
                <w:b w:val="0"/>
                <w:bCs w:val="0"/>
                <w:sz w:val="21"/>
                <w:szCs w:val="21"/>
              </w:rPr>
              <w:t>支持向各科室收集集采报量意见，作为最终报量的参考。</w:t>
            </w:r>
          </w:p>
        </w:tc>
      </w:tr>
      <w:bookmarkEnd w:id="1"/>
    </w:tbl>
    <w:p w14:paraId="49D4373C"/>
    <w:p w14:paraId="47945CA3">
      <w:pPr>
        <w:rPr>
          <w:b/>
          <w:bCs/>
          <w:color w:val="000000" w:themeColor="text1"/>
          <w:sz w:val="32"/>
          <w:szCs w:val="28"/>
          <w14:textFill>
            <w14:solidFill>
              <w14:schemeClr w14:val="tx1"/>
            </w14:solidFill>
          </w14:textFill>
        </w:rPr>
      </w:pPr>
      <w:r>
        <w:rPr>
          <w:rFonts w:hint="eastAsia"/>
          <w:b/>
          <w:bCs/>
          <w:color w:val="000000" w:themeColor="text1"/>
          <w:sz w:val="32"/>
          <w:szCs w:val="28"/>
          <w14:textFill>
            <w14:solidFill>
              <w14:schemeClr w14:val="tx1"/>
            </w14:solidFill>
          </w14:textFill>
        </w:rPr>
        <w:t>评分标准</w:t>
      </w:r>
    </w:p>
    <w:tbl>
      <w:tblPr>
        <w:tblStyle w:val="12"/>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080"/>
        <w:gridCol w:w="690"/>
        <w:gridCol w:w="6566"/>
      </w:tblGrid>
      <w:tr w14:paraId="1C4E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blHeader/>
          <w:jc w:val="center"/>
        </w:trPr>
        <w:tc>
          <w:tcPr>
            <w:tcW w:w="731" w:type="dxa"/>
            <w:vAlign w:val="center"/>
          </w:tcPr>
          <w:p w14:paraId="21B2B12F">
            <w:pPr>
              <w:adjustRightInd w:val="0"/>
              <w:snapToGrid w:val="0"/>
              <w:spacing w:line="360" w:lineRule="exact"/>
              <w:jc w:val="center"/>
              <w:rPr>
                <w:rFonts w:ascii="宋体" w:hAnsi="宋体" w:eastAsia="宋体" w:cs="宋体"/>
                <w:b/>
                <w:spacing w:val="-6"/>
                <w:sz w:val="21"/>
                <w:szCs w:val="21"/>
              </w:rPr>
            </w:pPr>
            <w:r>
              <w:rPr>
                <w:rFonts w:hint="eastAsia" w:ascii="宋体" w:hAnsi="宋体" w:eastAsia="宋体" w:cs="宋体"/>
                <w:b/>
                <w:spacing w:val="-6"/>
                <w:sz w:val="21"/>
                <w:szCs w:val="21"/>
              </w:rPr>
              <w:t>评标项目</w:t>
            </w:r>
          </w:p>
        </w:tc>
        <w:tc>
          <w:tcPr>
            <w:tcW w:w="1080" w:type="dxa"/>
            <w:vAlign w:val="center"/>
          </w:tcPr>
          <w:p w14:paraId="5F4414FD">
            <w:pPr>
              <w:adjustRightInd w:val="0"/>
              <w:snapToGrid w:val="0"/>
              <w:spacing w:line="360" w:lineRule="exact"/>
              <w:jc w:val="center"/>
              <w:rPr>
                <w:rFonts w:ascii="宋体" w:hAnsi="宋体" w:eastAsia="宋体" w:cs="宋体"/>
                <w:b/>
                <w:sz w:val="21"/>
                <w:szCs w:val="21"/>
              </w:rPr>
            </w:pPr>
            <w:r>
              <w:rPr>
                <w:rFonts w:hint="eastAsia" w:ascii="宋体" w:hAnsi="宋体" w:eastAsia="宋体" w:cs="宋体"/>
                <w:b/>
                <w:sz w:val="21"/>
                <w:szCs w:val="21"/>
              </w:rPr>
              <w:t>评标分项</w:t>
            </w:r>
          </w:p>
        </w:tc>
        <w:tc>
          <w:tcPr>
            <w:tcW w:w="690" w:type="dxa"/>
            <w:vAlign w:val="center"/>
          </w:tcPr>
          <w:p w14:paraId="51E62199">
            <w:pPr>
              <w:snapToGrid w:val="0"/>
              <w:spacing w:line="360" w:lineRule="exact"/>
              <w:jc w:val="center"/>
              <w:rPr>
                <w:rFonts w:ascii="宋体" w:hAnsi="宋体" w:eastAsia="宋体" w:cs="宋体"/>
                <w:b/>
                <w:sz w:val="21"/>
                <w:szCs w:val="21"/>
              </w:rPr>
            </w:pPr>
            <w:r>
              <w:rPr>
                <w:rFonts w:hint="eastAsia" w:ascii="宋体" w:hAnsi="宋体" w:eastAsia="宋体" w:cs="宋体"/>
                <w:b/>
                <w:sz w:val="21"/>
                <w:szCs w:val="21"/>
              </w:rPr>
              <w:t>分值</w:t>
            </w:r>
          </w:p>
        </w:tc>
        <w:tc>
          <w:tcPr>
            <w:tcW w:w="6566" w:type="dxa"/>
            <w:vAlign w:val="center"/>
          </w:tcPr>
          <w:p w14:paraId="04A3D5CF">
            <w:pPr>
              <w:snapToGrid w:val="0"/>
              <w:spacing w:line="360" w:lineRule="exact"/>
              <w:jc w:val="center"/>
              <w:rPr>
                <w:rFonts w:ascii="宋体" w:hAnsi="宋体" w:eastAsia="宋体" w:cs="宋体"/>
                <w:b/>
                <w:sz w:val="21"/>
                <w:szCs w:val="21"/>
              </w:rPr>
            </w:pPr>
            <w:r>
              <w:rPr>
                <w:rFonts w:hint="eastAsia" w:ascii="宋体" w:hAnsi="宋体" w:eastAsia="宋体" w:cs="宋体"/>
                <w:b/>
                <w:sz w:val="21"/>
                <w:szCs w:val="21"/>
              </w:rPr>
              <w:t>子项目及分值</w:t>
            </w:r>
          </w:p>
        </w:tc>
      </w:tr>
      <w:tr w14:paraId="69D1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731" w:type="dxa"/>
            <w:vAlign w:val="center"/>
          </w:tcPr>
          <w:p w14:paraId="7AD1784D">
            <w:pPr>
              <w:adjustRightInd w:val="0"/>
              <w:snapToGrid w:val="0"/>
              <w:spacing w:line="400" w:lineRule="exact"/>
              <w:jc w:val="center"/>
              <w:rPr>
                <w:rFonts w:ascii="宋体" w:hAnsi="宋体" w:eastAsia="宋体" w:cs="宋体"/>
                <w:spacing w:val="-6"/>
                <w:sz w:val="21"/>
                <w:szCs w:val="21"/>
              </w:rPr>
            </w:pPr>
            <w:r>
              <w:rPr>
                <w:rFonts w:hint="eastAsia" w:ascii="宋体" w:hAnsi="宋体" w:eastAsia="宋体" w:cs="宋体"/>
                <w:spacing w:val="-6"/>
                <w:sz w:val="21"/>
                <w:szCs w:val="21"/>
              </w:rPr>
              <w:t>价格部分</w:t>
            </w:r>
          </w:p>
          <w:p w14:paraId="510120C0">
            <w:pPr>
              <w:adjustRightInd w:val="0"/>
              <w:snapToGrid w:val="0"/>
              <w:spacing w:line="400" w:lineRule="exact"/>
              <w:jc w:val="center"/>
              <w:rPr>
                <w:rFonts w:ascii="宋体" w:hAnsi="宋体" w:eastAsia="宋体" w:cs="宋体"/>
                <w:spacing w:val="-6"/>
                <w:sz w:val="21"/>
                <w:szCs w:val="21"/>
              </w:rPr>
            </w:pPr>
            <w:r>
              <w:rPr>
                <w:rFonts w:hint="eastAsia" w:ascii="宋体" w:hAnsi="宋体" w:eastAsia="宋体" w:cs="宋体"/>
                <w:spacing w:val="-6"/>
                <w:sz w:val="21"/>
                <w:szCs w:val="21"/>
              </w:rPr>
              <w:t>10分</w:t>
            </w:r>
          </w:p>
        </w:tc>
        <w:tc>
          <w:tcPr>
            <w:tcW w:w="1080" w:type="dxa"/>
            <w:tcBorders>
              <w:bottom w:val="single" w:color="auto" w:sz="4" w:space="0"/>
            </w:tcBorders>
            <w:vAlign w:val="center"/>
          </w:tcPr>
          <w:p w14:paraId="33524C7A">
            <w:pPr>
              <w:adjustRightInd w:val="0"/>
              <w:snapToGrid w:val="0"/>
              <w:spacing w:line="400" w:lineRule="exact"/>
              <w:jc w:val="center"/>
              <w:rPr>
                <w:rFonts w:ascii="宋体" w:hAnsi="宋体" w:eastAsia="宋体" w:cs="宋体"/>
                <w:sz w:val="21"/>
                <w:szCs w:val="21"/>
              </w:rPr>
            </w:pPr>
            <w:r>
              <w:rPr>
                <w:rFonts w:hint="eastAsia" w:ascii="宋体" w:hAnsi="宋体" w:eastAsia="宋体" w:cs="宋体"/>
                <w:sz w:val="21"/>
                <w:szCs w:val="21"/>
              </w:rPr>
              <w:t>投标报价</w:t>
            </w:r>
          </w:p>
        </w:tc>
        <w:tc>
          <w:tcPr>
            <w:tcW w:w="690" w:type="dxa"/>
            <w:vAlign w:val="center"/>
          </w:tcPr>
          <w:p w14:paraId="774CBF48">
            <w:pPr>
              <w:snapToGrid w:val="0"/>
              <w:spacing w:line="400" w:lineRule="exact"/>
              <w:jc w:val="center"/>
              <w:rPr>
                <w:rFonts w:ascii="宋体" w:hAnsi="宋体" w:eastAsia="宋体" w:cs="宋体"/>
                <w:sz w:val="21"/>
                <w:szCs w:val="21"/>
              </w:rPr>
            </w:pPr>
            <w:r>
              <w:rPr>
                <w:rFonts w:hint="eastAsia" w:ascii="宋体" w:hAnsi="宋体" w:eastAsia="宋体" w:cs="宋体"/>
                <w:sz w:val="21"/>
                <w:szCs w:val="21"/>
              </w:rPr>
              <w:t>10</w:t>
            </w:r>
          </w:p>
        </w:tc>
        <w:tc>
          <w:tcPr>
            <w:tcW w:w="6566" w:type="dxa"/>
            <w:vAlign w:val="center"/>
          </w:tcPr>
          <w:p w14:paraId="56531AA0">
            <w:pPr>
              <w:pStyle w:val="6"/>
              <w:spacing w:line="400" w:lineRule="exact"/>
              <w:ind w:firstLine="0"/>
              <w:rPr>
                <w:rFonts w:ascii="宋体" w:hAnsi="宋体" w:eastAsia="宋体" w:cs="宋体"/>
                <w:sz w:val="21"/>
                <w:szCs w:val="21"/>
                <w:lang w:val="hr-HR"/>
              </w:rPr>
            </w:pPr>
            <w:r>
              <w:rPr>
                <w:rFonts w:hint="eastAsia" w:ascii="宋体" w:hAnsi="宋体" w:eastAsia="宋体" w:cs="宋体"/>
                <w:sz w:val="21"/>
                <w:szCs w:val="21"/>
                <w:lang w:val="hr-HR"/>
              </w:rPr>
              <w:t>满足</w:t>
            </w:r>
            <w:r>
              <w:rPr>
                <w:rFonts w:hint="eastAsia" w:ascii="宋体" w:hAnsi="宋体" w:eastAsia="宋体" w:cs="宋体"/>
                <w:sz w:val="21"/>
                <w:szCs w:val="21"/>
              </w:rPr>
              <w:t>招标文件</w:t>
            </w:r>
            <w:r>
              <w:rPr>
                <w:rFonts w:hint="eastAsia" w:ascii="宋体" w:hAnsi="宋体" w:eastAsia="宋体" w:cs="宋体"/>
                <w:sz w:val="21"/>
                <w:szCs w:val="21"/>
                <w:lang w:val="hr-HR"/>
              </w:rPr>
              <w:t>要求且</w:t>
            </w:r>
            <w:r>
              <w:rPr>
                <w:rFonts w:hint="eastAsia" w:ascii="宋体" w:hAnsi="宋体" w:eastAsia="宋体" w:cs="宋体"/>
                <w:sz w:val="21"/>
                <w:szCs w:val="21"/>
              </w:rPr>
              <w:t>投标报价</w:t>
            </w:r>
            <w:r>
              <w:rPr>
                <w:rFonts w:hint="eastAsia" w:ascii="宋体" w:hAnsi="宋体" w:eastAsia="宋体" w:cs="宋体"/>
                <w:sz w:val="21"/>
                <w:szCs w:val="21"/>
                <w:lang w:val="hr-HR"/>
              </w:rPr>
              <w:t>最低的投标报价为评标基准价，其价格分为满分。其他投标供应商的价格分统一按照下列公式计算：</w:t>
            </w:r>
          </w:p>
          <w:p w14:paraId="6DF3E717">
            <w:pPr>
              <w:widowControl/>
              <w:adjustRightInd w:val="0"/>
              <w:snapToGrid w:val="0"/>
              <w:rPr>
                <w:rFonts w:hint="eastAsia" w:asciiTheme="minorHAnsi" w:hAnsiTheme="minorHAnsi" w:eastAsiaTheme="minorEastAsia" w:cstheme="minorBidi"/>
                <w:kern w:val="2"/>
                <w:sz w:val="21"/>
                <w:szCs w:val="22"/>
                <w:lang w:val="en-US" w:eastAsia="zh-CN" w:bidi="ar-SA"/>
              </w:rPr>
            </w:pPr>
            <w:r>
              <w:rPr>
                <w:rFonts w:hint="eastAsia" w:ascii="宋体" w:hAnsi="宋体" w:eastAsia="宋体" w:cs="宋体"/>
                <w:kern w:val="0"/>
                <w:sz w:val="21"/>
                <w:szCs w:val="21"/>
                <w:lang w:val="hr-HR"/>
              </w:rPr>
              <w:t>磋商报价得分=（磋商基准价/最后磋商报价）×</w:t>
            </w:r>
            <w:r>
              <w:rPr>
                <w:rFonts w:hint="eastAsia" w:ascii="宋体" w:hAnsi="宋体" w:eastAsia="宋体" w:cs="宋体"/>
                <w:kern w:val="0"/>
                <w:sz w:val="21"/>
                <w:szCs w:val="21"/>
              </w:rPr>
              <w:t>10</w:t>
            </w:r>
            <w:r>
              <w:rPr>
                <w:rFonts w:hint="eastAsia" w:ascii="宋体" w:hAnsi="宋体" w:eastAsia="宋体" w:cs="宋体"/>
                <w:kern w:val="0"/>
                <w:sz w:val="21"/>
                <w:szCs w:val="21"/>
                <w:lang w:val="hr-HR"/>
              </w:rPr>
              <w:t>×100</w:t>
            </w:r>
            <w:r>
              <w:rPr>
                <w:rFonts w:hint="eastAsia" w:ascii="宋体" w:hAnsi="宋体" w:eastAsia="宋体" w:cs="宋体"/>
                <w:kern w:val="0"/>
                <w:sz w:val="21"/>
                <w:szCs w:val="21"/>
              </w:rPr>
              <w:t>%</w:t>
            </w:r>
          </w:p>
        </w:tc>
      </w:tr>
      <w:tr w14:paraId="0EBD4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31" w:type="dxa"/>
            <w:vMerge w:val="restart"/>
            <w:vAlign w:val="center"/>
          </w:tcPr>
          <w:p w14:paraId="153658D7">
            <w:pPr>
              <w:adjustRightInd w:val="0"/>
              <w:snapToGrid w:val="0"/>
              <w:spacing w:line="400" w:lineRule="exact"/>
              <w:jc w:val="center"/>
              <w:rPr>
                <w:rFonts w:ascii="宋体" w:hAnsi="宋体" w:eastAsia="宋体" w:cs="宋体"/>
                <w:spacing w:val="-6"/>
                <w:sz w:val="21"/>
                <w:szCs w:val="21"/>
              </w:rPr>
            </w:pPr>
            <w:r>
              <w:rPr>
                <w:rFonts w:hint="eastAsia" w:ascii="宋体" w:hAnsi="宋体" w:eastAsia="宋体" w:cs="宋体"/>
                <w:spacing w:val="-6"/>
                <w:sz w:val="21"/>
                <w:szCs w:val="21"/>
              </w:rPr>
              <w:t>商务部分</w:t>
            </w:r>
          </w:p>
          <w:p w14:paraId="60FAE3CE">
            <w:pPr>
              <w:adjustRightInd w:val="0"/>
              <w:snapToGrid w:val="0"/>
              <w:spacing w:line="400" w:lineRule="exact"/>
              <w:jc w:val="center"/>
              <w:rPr>
                <w:rFonts w:ascii="宋体" w:hAnsi="宋体" w:eastAsia="宋体" w:cs="宋体"/>
                <w:spacing w:val="-6"/>
                <w:sz w:val="21"/>
                <w:szCs w:val="21"/>
              </w:rPr>
            </w:pPr>
            <w:r>
              <w:rPr>
                <w:rFonts w:hint="eastAsia" w:ascii="宋体" w:hAnsi="宋体" w:eastAsia="宋体" w:cs="宋体"/>
                <w:spacing w:val="-6"/>
                <w:sz w:val="21"/>
                <w:szCs w:val="21"/>
              </w:rPr>
              <w:t>2</w:t>
            </w:r>
            <w:r>
              <w:rPr>
                <w:rFonts w:hint="eastAsia" w:ascii="宋体" w:hAnsi="宋体" w:eastAsia="宋体" w:cs="宋体"/>
                <w:spacing w:val="-6"/>
                <w:sz w:val="21"/>
                <w:szCs w:val="21"/>
                <w:lang w:val="en-US" w:eastAsia="zh-CN"/>
              </w:rPr>
              <w:t>0</w:t>
            </w:r>
            <w:r>
              <w:rPr>
                <w:rFonts w:hint="eastAsia" w:ascii="宋体" w:hAnsi="宋体" w:eastAsia="宋体" w:cs="宋体"/>
                <w:spacing w:val="-6"/>
                <w:sz w:val="21"/>
                <w:szCs w:val="21"/>
              </w:rPr>
              <w:t>分</w:t>
            </w:r>
          </w:p>
        </w:tc>
        <w:tc>
          <w:tcPr>
            <w:tcW w:w="1080" w:type="dxa"/>
            <w:tcBorders>
              <w:top w:val="single" w:color="auto" w:sz="4" w:space="0"/>
            </w:tcBorders>
            <w:vAlign w:val="center"/>
          </w:tcPr>
          <w:p w14:paraId="14023C6A">
            <w:pPr>
              <w:pStyle w:val="6"/>
              <w:spacing w:line="400" w:lineRule="exact"/>
              <w:ind w:firstLine="0"/>
              <w:rPr>
                <w:rFonts w:ascii="宋体" w:hAnsi="宋体" w:eastAsia="宋体" w:cs="宋体"/>
                <w:sz w:val="21"/>
                <w:szCs w:val="21"/>
              </w:rPr>
            </w:pPr>
            <w:r>
              <w:rPr>
                <w:rFonts w:hint="eastAsia" w:ascii="宋体" w:hAnsi="宋体" w:eastAsia="宋体" w:cs="宋体"/>
                <w:sz w:val="21"/>
                <w:szCs w:val="21"/>
              </w:rPr>
              <w:t>建设案例</w:t>
            </w:r>
          </w:p>
        </w:tc>
        <w:tc>
          <w:tcPr>
            <w:tcW w:w="690" w:type="dxa"/>
            <w:vAlign w:val="center"/>
          </w:tcPr>
          <w:p w14:paraId="34D47B89">
            <w:pPr>
              <w:pStyle w:val="6"/>
              <w:spacing w:line="400" w:lineRule="exact"/>
              <w:ind w:firstLine="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rPr>
              <w:t>1</w:t>
            </w:r>
            <w:r>
              <w:rPr>
                <w:rFonts w:hint="eastAsia" w:ascii="宋体" w:hAnsi="宋体" w:eastAsia="宋体" w:cs="宋体"/>
                <w:kern w:val="2"/>
                <w:sz w:val="21"/>
                <w:szCs w:val="21"/>
                <w:lang w:val="en-US" w:eastAsia="zh-CN"/>
              </w:rPr>
              <w:t>4</w:t>
            </w:r>
          </w:p>
        </w:tc>
        <w:tc>
          <w:tcPr>
            <w:tcW w:w="6566" w:type="dxa"/>
            <w:vAlign w:val="center"/>
          </w:tcPr>
          <w:p w14:paraId="5694061E">
            <w:pPr>
              <w:spacing w:line="400" w:lineRule="exact"/>
              <w:rPr>
                <w:rFonts w:ascii="宋体" w:hAnsi="宋体" w:eastAsia="宋体" w:cs="宋体"/>
                <w:sz w:val="21"/>
                <w:szCs w:val="21"/>
              </w:rPr>
            </w:pPr>
            <w:r>
              <w:rPr>
                <w:rFonts w:hint="eastAsia" w:ascii="宋体" w:hAnsi="宋体" w:eastAsia="宋体" w:cs="宋体"/>
                <w:sz w:val="21"/>
                <w:szCs w:val="21"/>
              </w:rPr>
              <w:t>为满足医院电子病历不同等级评审的需求，产品生产厂商具有成功通过高级别电子病历评级用户的同类项目建设经验，此项最多得1</w:t>
            </w:r>
            <w:r>
              <w:rPr>
                <w:rFonts w:hint="eastAsia" w:ascii="宋体" w:hAnsi="宋体" w:eastAsia="宋体" w:cs="宋体"/>
                <w:sz w:val="21"/>
                <w:szCs w:val="21"/>
                <w:lang w:val="en-US" w:eastAsia="zh-CN"/>
              </w:rPr>
              <w:t>4</w:t>
            </w:r>
            <w:r>
              <w:rPr>
                <w:rFonts w:hint="eastAsia" w:ascii="宋体" w:hAnsi="宋体" w:eastAsia="宋体" w:cs="宋体"/>
                <w:sz w:val="21"/>
                <w:szCs w:val="21"/>
              </w:rPr>
              <w:t>分。（同类项目经验指合理用药相关系统）</w:t>
            </w:r>
          </w:p>
          <w:p w14:paraId="07BB947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每提供一个7级及以上案例得4分，最高得8分；</w:t>
            </w:r>
          </w:p>
          <w:p w14:paraId="423ADAAA">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每提供一个6级案例得2分，最高得4分；</w:t>
            </w:r>
          </w:p>
          <w:p w14:paraId="66E3924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每提供一个5级及以下案例得1分，最高得2分；</w:t>
            </w:r>
          </w:p>
          <w:p w14:paraId="436EDA66">
            <w:pPr>
              <w:pStyle w:val="26"/>
              <w:spacing w:line="360" w:lineRule="auto"/>
              <w:rPr>
                <w:rFonts w:hAnsi="宋体" w:eastAsia="宋体"/>
                <w:color w:val="auto"/>
                <w:szCs w:val="21"/>
              </w:rPr>
            </w:pPr>
            <w:r>
              <w:rPr>
                <w:rFonts w:hint="eastAsia" w:hAnsi="宋体" w:eastAsia="宋体"/>
                <w:color w:val="auto"/>
                <w:szCs w:val="21"/>
              </w:rPr>
              <w:t>评审依据：①国家卫生健康委公布的高级别电子病历评级通过的公告截图，截图中须清晰体现出医院名字；②项目合同关键页和最终用户(医院)的项目验收单复印件作为证明材料。</w:t>
            </w:r>
          </w:p>
        </w:tc>
      </w:tr>
      <w:tr w14:paraId="13988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8" w:hRule="atLeast"/>
          <w:jc w:val="center"/>
        </w:trPr>
        <w:tc>
          <w:tcPr>
            <w:tcW w:w="731" w:type="dxa"/>
            <w:vMerge w:val="continue"/>
            <w:vAlign w:val="center"/>
          </w:tcPr>
          <w:p w14:paraId="1A8313A2">
            <w:pPr>
              <w:adjustRightInd w:val="0"/>
              <w:snapToGrid w:val="0"/>
              <w:spacing w:line="400" w:lineRule="exact"/>
              <w:jc w:val="center"/>
              <w:rPr>
                <w:rFonts w:ascii="宋体" w:hAnsi="宋体" w:eastAsia="宋体" w:cs="宋体"/>
                <w:spacing w:val="-6"/>
                <w:sz w:val="21"/>
                <w:szCs w:val="21"/>
              </w:rPr>
            </w:pPr>
          </w:p>
        </w:tc>
        <w:tc>
          <w:tcPr>
            <w:tcW w:w="1080" w:type="dxa"/>
            <w:tcBorders>
              <w:top w:val="single" w:color="auto" w:sz="4" w:space="0"/>
            </w:tcBorders>
            <w:vAlign w:val="center"/>
          </w:tcPr>
          <w:p w14:paraId="3194DC15">
            <w:pPr>
              <w:pStyle w:val="6"/>
              <w:spacing w:line="400" w:lineRule="exact"/>
              <w:ind w:firstLine="0"/>
              <w:rPr>
                <w:rFonts w:ascii="宋体" w:hAnsi="宋体" w:eastAsia="宋体" w:cs="宋体"/>
                <w:sz w:val="21"/>
                <w:szCs w:val="21"/>
                <w:lang w:val="hr-HR"/>
              </w:rPr>
            </w:pPr>
            <w:r>
              <w:rPr>
                <w:rFonts w:hint="eastAsia" w:ascii="宋体" w:hAnsi="宋体" w:eastAsia="宋体" w:cs="宋体"/>
                <w:sz w:val="21"/>
                <w:szCs w:val="21"/>
                <w:lang w:val="hr-HR"/>
              </w:rPr>
              <w:t>企业实力</w:t>
            </w:r>
          </w:p>
        </w:tc>
        <w:tc>
          <w:tcPr>
            <w:tcW w:w="690" w:type="dxa"/>
            <w:vAlign w:val="center"/>
          </w:tcPr>
          <w:p w14:paraId="36CBEE3E">
            <w:pPr>
              <w:pStyle w:val="6"/>
              <w:spacing w:line="400" w:lineRule="exact"/>
              <w:ind w:firstLine="0"/>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p>
        </w:tc>
        <w:tc>
          <w:tcPr>
            <w:tcW w:w="6566" w:type="dxa"/>
            <w:vAlign w:val="center"/>
          </w:tcPr>
          <w:p w14:paraId="487F877B">
            <w:pPr>
              <w:pStyle w:val="6"/>
              <w:spacing w:line="400" w:lineRule="exact"/>
              <w:ind w:firstLine="0"/>
              <w:rPr>
                <w:rFonts w:ascii="宋体" w:hAnsi="宋体" w:eastAsia="宋体" w:cs="宋体"/>
                <w:sz w:val="21"/>
                <w:szCs w:val="21"/>
                <w:lang w:val="hr-HR"/>
              </w:rPr>
            </w:pPr>
            <w:r>
              <w:rPr>
                <w:rFonts w:hint="eastAsia" w:ascii="宋体" w:hAnsi="宋体" w:eastAsia="宋体" w:cs="宋体"/>
                <w:sz w:val="21"/>
                <w:szCs w:val="21"/>
              </w:rPr>
              <w:t>1</w:t>
            </w:r>
            <w:r>
              <w:rPr>
                <w:rFonts w:hint="eastAsia" w:ascii="宋体" w:hAnsi="宋体" w:eastAsia="宋体" w:cs="宋体"/>
                <w:sz w:val="21"/>
                <w:szCs w:val="21"/>
                <w:lang w:val="hr-HR"/>
              </w:rPr>
              <w:t>.</w:t>
            </w:r>
            <w:r>
              <w:rPr>
                <w:rFonts w:hint="eastAsia" w:ascii="宋体" w:hAnsi="宋体" w:eastAsia="宋体" w:cs="宋体"/>
                <w:sz w:val="21"/>
                <w:szCs w:val="21"/>
              </w:rPr>
              <w:t>产品生产厂商</w:t>
            </w:r>
            <w:r>
              <w:rPr>
                <w:rFonts w:hint="eastAsia" w:ascii="宋体" w:hAnsi="宋体" w:eastAsia="宋体" w:cs="宋体"/>
                <w:sz w:val="21"/>
                <w:szCs w:val="21"/>
                <w:lang w:val="hr-HR"/>
              </w:rPr>
              <w:t>具有</w:t>
            </w:r>
            <w:r>
              <w:rPr>
                <w:rFonts w:hint="eastAsia" w:ascii="宋体" w:hAnsi="宋体" w:eastAsia="宋体" w:cs="宋体"/>
                <w:sz w:val="21"/>
                <w:szCs w:val="21"/>
              </w:rPr>
              <w:t>有效的</w:t>
            </w:r>
            <w:r>
              <w:rPr>
                <w:rFonts w:hint="eastAsia" w:ascii="宋体" w:hAnsi="宋体" w:eastAsia="宋体" w:cs="宋体"/>
                <w:sz w:val="21"/>
                <w:szCs w:val="21"/>
                <w:lang w:val="hr-HR"/>
              </w:rPr>
              <w:t>CCRC信息安全服务资质</w:t>
            </w:r>
            <w:r>
              <w:rPr>
                <w:rFonts w:hint="eastAsia" w:ascii="宋体" w:hAnsi="宋体" w:cs="宋体"/>
                <w:sz w:val="21"/>
                <w:szCs w:val="21"/>
              </w:rPr>
              <w:t>三级或以上</w:t>
            </w:r>
            <w:r>
              <w:rPr>
                <w:rFonts w:hint="eastAsia" w:ascii="宋体" w:hAnsi="宋体" w:eastAsia="宋体" w:cs="宋体"/>
                <w:sz w:val="21"/>
                <w:szCs w:val="21"/>
                <w:lang w:val="hr-HR"/>
              </w:rPr>
              <w:t>证书的，得</w:t>
            </w:r>
            <w:r>
              <w:rPr>
                <w:rFonts w:hint="eastAsia" w:ascii="宋体" w:hAnsi="宋体" w:eastAsia="宋体" w:cs="宋体"/>
                <w:sz w:val="21"/>
                <w:szCs w:val="21"/>
                <w:lang w:val="en-US" w:eastAsia="zh-CN"/>
              </w:rPr>
              <w:t>2</w:t>
            </w:r>
            <w:r>
              <w:rPr>
                <w:rFonts w:hint="eastAsia" w:ascii="宋体" w:hAnsi="宋体" w:eastAsia="宋体" w:cs="宋体"/>
                <w:sz w:val="21"/>
                <w:szCs w:val="21"/>
                <w:lang w:val="hr-HR"/>
              </w:rPr>
              <w:t>分。</w:t>
            </w:r>
          </w:p>
          <w:p w14:paraId="5F7D540C">
            <w:pPr>
              <w:pStyle w:val="6"/>
              <w:spacing w:line="400" w:lineRule="exact"/>
              <w:ind w:firstLine="0"/>
              <w:rPr>
                <w:rFonts w:ascii="宋体" w:hAnsi="宋体" w:eastAsia="宋体" w:cs="宋体"/>
                <w:sz w:val="21"/>
                <w:szCs w:val="21"/>
                <w:lang w:val="hr-HR"/>
              </w:rPr>
            </w:pPr>
            <w:r>
              <w:rPr>
                <w:rFonts w:hint="eastAsia" w:ascii="宋体" w:hAnsi="宋体" w:eastAsia="宋体" w:cs="宋体"/>
                <w:sz w:val="21"/>
                <w:szCs w:val="21"/>
              </w:rPr>
              <w:t>2</w:t>
            </w:r>
            <w:r>
              <w:rPr>
                <w:rFonts w:hint="eastAsia" w:ascii="宋体" w:hAnsi="宋体" w:eastAsia="宋体" w:cs="宋体"/>
                <w:sz w:val="21"/>
                <w:szCs w:val="21"/>
                <w:lang w:val="hr-HR"/>
              </w:rPr>
              <w:t>.</w:t>
            </w:r>
            <w:r>
              <w:rPr>
                <w:rFonts w:hint="eastAsia" w:ascii="宋体" w:hAnsi="宋体" w:eastAsia="宋体" w:cs="宋体"/>
                <w:sz w:val="21"/>
                <w:szCs w:val="21"/>
              </w:rPr>
              <w:t>产品生产厂商</w:t>
            </w:r>
            <w:r>
              <w:rPr>
                <w:rFonts w:hint="eastAsia" w:ascii="宋体" w:hAnsi="宋体" w:eastAsia="宋体" w:cs="宋体"/>
                <w:sz w:val="21"/>
                <w:szCs w:val="21"/>
                <w:lang w:val="hr-HR"/>
              </w:rPr>
              <w:t>具有</w:t>
            </w:r>
            <w:r>
              <w:rPr>
                <w:rFonts w:hint="eastAsia" w:ascii="宋体" w:hAnsi="宋体" w:eastAsia="宋体" w:cs="宋体"/>
                <w:sz w:val="21"/>
                <w:szCs w:val="21"/>
              </w:rPr>
              <w:t>有效的</w:t>
            </w:r>
            <w:r>
              <w:rPr>
                <w:rFonts w:hint="eastAsia" w:ascii="宋体" w:hAnsi="宋体" w:eastAsia="宋体" w:cs="宋体"/>
                <w:sz w:val="21"/>
                <w:szCs w:val="21"/>
                <w:lang w:val="hr-HR"/>
              </w:rPr>
              <w:t>ITSS信息技术服务运行维护标准</w:t>
            </w:r>
            <w:r>
              <w:rPr>
                <w:rFonts w:hint="eastAsia" w:ascii="宋体" w:hAnsi="宋体" w:eastAsia="宋体" w:cs="宋体"/>
                <w:sz w:val="21"/>
                <w:szCs w:val="21"/>
              </w:rPr>
              <w:t>证书的</w:t>
            </w:r>
            <w:r>
              <w:rPr>
                <w:rFonts w:hint="eastAsia" w:ascii="宋体" w:hAnsi="宋体" w:eastAsia="宋体" w:cs="宋体"/>
                <w:sz w:val="21"/>
                <w:szCs w:val="21"/>
                <w:lang w:val="hr-HR"/>
              </w:rPr>
              <w:t>,得</w:t>
            </w:r>
            <w:r>
              <w:rPr>
                <w:rFonts w:hint="eastAsia" w:ascii="宋体" w:hAnsi="宋体" w:eastAsia="宋体" w:cs="宋体"/>
                <w:sz w:val="21"/>
                <w:szCs w:val="21"/>
                <w:lang w:val="en-US" w:eastAsia="zh-CN"/>
              </w:rPr>
              <w:t>2</w:t>
            </w:r>
            <w:r>
              <w:rPr>
                <w:rFonts w:hint="eastAsia" w:ascii="宋体" w:hAnsi="宋体" w:eastAsia="宋体" w:cs="宋体"/>
                <w:sz w:val="21"/>
                <w:szCs w:val="21"/>
                <w:lang w:val="hr-HR"/>
              </w:rPr>
              <w:t>分。</w:t>
            </w:r>
          </w:p>
          <w:p w14:paraId="74664CAD">
            <w:pPr>
              <w:pStyle w:val="6"/>
              <w:spacing w:line="400" w:lineRule="exact"/>
              <w:ind w:firstLine="0"/>
              <w:rPr>
                <w:rFonts w:ascii="宋体" w:hAnsi="宋体" w:eastAsia="宋体" w:cs="宋体"/>
                <w:sz w:val="21"/>
                <w:szCs w:val="21"/>
              </w:rPr>
            </w:pPr>
            <w:r>
              <w:rPr>
                <w:rFonts w:hint="eastAsia" w:ascii="宋体" w:hAnsi="宋体" w:eastAsia="宋体" w:cs="宋体"/>
                <w:sz w:val="21"/>
                <w:szCs w:val="21"/>
                <w:lang w:val="hr-HR"/>
              </w:rPr>
              <w:t>3.所投产品制造商通过软件能力成熟度达到SJ/T 11235 软件能力成熟度模型等级三级或以上，提供证书复印件及该证书在“全国认证认可信息公共服务平台”查询的截图，未按要求提供不得分。（</w:t>
            </w:r>
            <w:r>
              <w:rPr>
                <w:rFonts w:hint="eastAsia" w:ascii="宋体" w:hAnsi="宋体" w:eastAsia="宋体" w:cs="宋体"/>
                <w:sz w:val="21"/>
                <w:szCs w:val="21"/>
                <w:lang w:val="en-US" w:eastAsia="zh-CN"/>
              </w:rPr>
              <w:t>2</w:t>
            </w:r>
            <w:r>
              <w:rPr>
                <w:rFonts w:hint="eastAsia" w:ascii="宋体" w:hAnsi="宋体" w:eastAsia="宋体" w:cs="宋体"/>
                <w:sz w:val="21"/>
                <w:szCs w:val="21"/>
                <w:lang w:val="hr-HR"/>
              </w:rPr>
              <w:t>分）</w:t>
            </w:r>
          </w:p>
        </w:tc>
      </w:tr>
      <w:tr w14:paraId="1D42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731" w:type="dxa"/>
            <w:vMerge w:val="restart"/>
            <w:vAlign w:val="center"/>
          </w:tcPr>
          <w:p w14:paraId="0E33B3D9">
            <w:pPr>
              <w:adjustRightInd w:val="0"/>
              <w:snapToGrid w:val="0"/>
              <w:jc w:val="center"/>
              <w:rPr>
                <w:rFonts w:ascii="宋体" w:hAnsi="宋体" w:eastAsia="宋体" w:cs="宋体"/>
                <w:spacing w:val="-6"/>
                <w:sz w:val="21"/>
                <w:szCs w:val="21"/>
              </w:rPr>
            </w:pPr>
            <w:r>
              <w:rPr>
                <w:rFonts w:hint="eastAsia" w:ascii="宋体" w:hAnsi="宋体" w:eastAsia="宋体" w:cs="宋体"/>
                <w:spacing w:val="-6"/>
                <w:sz w:val="21"/>
                <w:szCs w:val="21"/>
              </w:rPr>
              <w:t>技术部分</w:t>
            </w:r>
          </w:p>
          <w:p w14:paraId="70874D64">
            <w:pPr>
              <w:adjustRightInd w:val="0"/>
              <w:snapToGrid w:val="0"/>
              <w:jc w:val="center"/>
              <w:rPr>
                <w:rFonts w:ascii="宋体" w:hAnsi="宋体" w:eastAsia="宋体" w:cs="宋体"/>
                <w:spacing w:val="-6"/>
                <w:sz w:val="21"/>
                <w:szCs w:val="21"/>
              </w:rPr>
            </w:pPr>
            <w:r>
              <w:rPr>
                <w:rFonts w:hint="eastAsia" w:ascii="宋体" w:hAnsi="宋体" w:eastAsia="宋体" w:cs="宋体"/>
                <w:spacing w:val="-6"/>
                <w:sz w:val="21"/>
                <w:szCs w:val="21"/>
                <w:lang w:val="en-US" w:eastAsia="zh-CN"/>
              </w:rPr>
              <w:t>70</w:t>
            </w:r>
            <w:r>
              <w:rPr>
                <w:rFonts w:hint="eastAsia" w:ascii="宋体" w:hAnsi="宋体" w:eastAsia="宋体" w:cs="宋体"/>
                <w:spacing w:val="-6"/>
                <w:sz w:val="21"/>
                <w:szCs w:val="21"/>
              </w:rPr>
              <w:t>分</w:t>
            </w:r>
          </w:p>
        </w:tc>
        <w:tc>
          <w:tcPr>
            <w:tcW w:w="1080" w:type="dxa"/>
            <w:tcBorders>
              <w:top w:val="single" w:color="auto" w:sz="4" w:space="0"/>
            </w:tcBorders>
            <w:vAlign w:val="center"/>
          </w:tcPr>
          <w:p w14:paraId="11B0F310">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技术参数</w:t>
            </w:r>
          </w:p>
        </w:tc>
        <w:tc>
          <w:tcPr>
            <w:tcW w:w="690" w:type="dxa"/>
            <w:vAlign w:val="center"/>
          </w:tcPr>
          <w:p w14:paraId="4C69587F">
            <w:pPr>
              <w:pStyle w:val="6"/>
              <w:spacing w:line="420" w:lineRule="exact"/>
              <w:ind w:firstLine="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40</w:t>
            </w:r>
          </w:p>
        </w:tc>
        <w:tc>
          <w:tcPr>
            <w:tcW w:w="6566" w:type="dxa"/>
            <w:vAlign w:val="center"/>
          </w:tcPr>
          <w:p w14:paraId="0074D602">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招标文件功能要求及技术要求中：完全满足没有负偏离的得满分</w:t>
            </w:r>
            <w:r>
              <w:rPr>
                <w:rFonts w:hint="eastAsia" w:ascii="宋体" w:hAnsi="宋体" w:eastAsia="宋体" w:cs="宋体"/>
                <w:sz w:val="21"/>
                <w:szCs w:val="21"/>
                <w:lang w:val="en-US" w:eastAsia="zh-CN"/>
              </w:rPr>
              <w:t>4</w:t>
            </w:r>
            <w:r>
              <w:rPr>
                <w:rFonts w:hint="eastAsia" w:ascii="宋体" w:hAnsi="宋体" w:eastAsia="宋体" w:cs="宋体"/>
                <w:sz w:val="21"/>
                <w:szCs w:val="21"/>
              </w:rPr>
              <w:t>0分，加注“▲”号的功能要求有负偏离的，一项扣</w:t>
            </w:r>
            <w:r>
              <w:rPr>
                <w:rFonts w:hint="eastAsia" w:ascii="宋体" w:hAnsi="宋体" w:eastAsia="宋体" w:cs="宋体"/>
                <w:sz w:val="21"/>
                <w:szCs w:val="21"/>
                <w:lang w:val="en-US" w:eastAsia="zh-CN"/>
              </w:rPr>
              <w:t>3</w:t>
            </w:r>
            <w:r>
              <w:rPr>
                <w:rFonts w:hint="eastAsia" w:ascii="宋体" w:hAnsi="宋体" w:eastAsia="宋体" w:cs="宋体"/>
                <w:sz w:val="21"/>
                <w:szCs w:val="21"/>
              </w:rPr>
              <w:t>分，未加注“▲”号的功能要求有负偏离的，一项扣</w:t>
            </w:r>
            <w:r>
              <w:rPr>
                <w:rFonts w:hint="eastAsia" w:ascii="宋体" w:hAnsi="宋体" w:eastAsia="宋体" w:cs="宋体"/>
                <w:sz w:val="21"/>
                <w:szCs w:val="21"/>
                <w:lang w:val="en-US" w:eastAsia="zh-CN"/>
              </w:rPr>
              <w:t>1</w:t>
            </w:r>
            <w:r>
              <w:rPr>
                <w:rFonts w:hint="eastAsia" w:ascii="宋体" w:hAnsi="宋体" w:eastAsia="宋体" w:cs="宋体"/>
                <w:sz w:val="21"/>
                <w:szCs w:val="21"/>
              </w:rPr>
              <w:t>分，扣完为止，加注“▲”号的功能需提供截图。</w:t>
            </w:r>
          </w:p>
        </w:tc>
      </w:tr>
      <w:tr w14:paraId="7458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731" w:type="dxa"/>
            <w:vMerge w:val="continue"/>
            <w:vAlign w:val="center"/>
          </w:tcPr>
          <w:p w14:paraId="5E068B97">
            <w:pPr>
              <w:adjustRightInd w:val="0"/>
              <w:snapToGrid w:val="0"/>
              <w:jc w:val="center"/>
              <w:rPr>
                <w:rFonts w:ascii="宋体" w:hAnsi="宋体" w:eastAsia="宋体" w:cs="宋体"/>
                <w:spacing w:val="-6"/>
                <w:sz w:val="21"/>
                <w:szCs w:val="21"/>
              </w:rPr>
            </w:pPr>
          </w:p>
        </w:tc>
        <w:tc>
          <w:tcPr>
            <w:tcW w:w="1080" w:type="dxa"/>
            <w:tcBorders>
              <w:top w:val="single" w:color="auto" w:sz="4" w:space="0"/>
            </w:tcBorders>
            <w:vAlign w:val="center"/>
          </w:tcPr>
          <w:p w14:paraId="3C261784">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系统对接</w:t>
            </w:r>
          </w:p>
        </w:tc>
        <w:tc>
          <w:tcPr>
            <w:tcW w:w="690" w:type="dxa"/>
            <w:vAlign w:val="center"/>
          </w:tcPr>
          <w:p w14:paraId="1C60FFDE">
            <w:pPr>
              <w:pStyle w:val="6"/>
              <w:spacing w:line="420" w:lineRule="exact"/>
              <w:ind w:firstLine="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6566" w:type="dxa"/>
            <w:vAlign w:val="center"/>
          </w:tcPr>
          <w:p w14:paraId="27D83A16">
            <w:pPr>
              <w:pStyle w:val="6"/>
              <w:spacing w:line="420" w:lineRule="exact"/>
              <w:ind w:firstLine="0"/>
              <w:rPr>
                <w:rFonts w:hint="eastAsia" w:ascii="宋体" w:hAnsi="宋体" w:eastAsia="宋体" w:cs="宋体"/>
                <w:sz w:val="21"/>
                <w:szCs w:val="21"/>
              </w:rPr>
            </w:pPr>
            <w:r>
              <w:rPr>
                <w:rFonts w:hint="eastAsia" w:ascii="宋体" w:hAnsi="宋体" w:eastAsia="宋体" w:cs="宋体"/>
                <w:sz w:val="21"/>
                <w:szCs w:val="21"/>
                <w:lang w:val="en-US" w:eastAsia="zh-CN"/>
              </w:rPr>
              <w:t>要求</w:t>
            </w:r>
            <w:r>
              <w:rPr>
                <w:rFonts w:hint="eastAsia" w:ascii="宋体" w:hAnsi="宋体" w:eastAsia="宋体" w:cs="宋体"/>
                <w:sz w:val="21"/>
                <w:szCs w:val="21"/>
              </w:rPr>
              <w:t>与</w:t>
            </w:r>
            <w:r>
              <w:rPr>
                <w:rFonts w:hint="eastAsia" w:ascii="宋体" w:hAnsi="宋体" w:eastAsia="宋体" w:cs="宋体"/>
                <w:sz w:val="21"/>
                <w:szCs w:val="21"/>
                <w:lang w:val="en-US" w:eastAsia="zh-CN"/>
              </w:rPr>
              <w:t>各医院的合理用药系统和HIS系统</w:t>
            </w:r>
            <w:r>
              <w:rPr>
                <w:rFonts w:hint="eastAsia" w:ascii="宋体" w:hAnsi="宋体" w:eastAsia="宋体" w:cs="宋体"/>
                <w:sz w:val="21"/>
                <w:szCs w:val="21"/>
              </w:rPr>
              <w:t>无缝对接，</w:t>
            </w:r>
            <w:r>
              <w:rPr>
                <w:rFonts w:hint="eastAsia" w:ascii="宋体" w:hAnsi="宋体" w:eastAsia="宋体" w:cs="宋体"/>
                <w:sz w:val="21"/>
                <w:szCs w:val="21"/>
                <w:lang w:val="en-US" w:eastAsia="zh-CN"/>
              </w:rPr>
              <w:t>药品管控规则与合理用药系统保持一致，应承诺中标后能与医院合理用药和HIS系统的对接工作，并能在实现数据利用的同时确保数据的安全，</w:t>
            </w:r>
            <w:r>
              <w:rPr>
                <w:rFonts w:hint="eastAsia" w:ascii="宋体" w:hAnsi="宋体" w:eastAsia="宋体" w:cs="宋体"/>
                <w:sz w:val="21"/>
                <w:szCs w:val="21"/>
              </w:rPr>
              <w:t>如果虚假承诺导致中标并签订合同，却无法实现者，除合同无效外，将被视为虚假应标，并被追究法律责任。</w:t>
            </w:r>
            <w:r>
              <w:rPr>
                <w:rFonts w:hint="eastAsia" w:ascii="宋体" w:hAnsi="宋体" w:eastAsia="宋体" w:cs="宋体"/>
                <w:b/>
                <w:bCs/>
                <w:sz w:val="21"/>
                <w:szCs w:val="21"/>
              </w:rPr>
              <w:t>（</w:t>
            </w:r>
            <w:r>
              <w:rPr>
                <w:rFonts w:hint="eastAsia" w:ascii="宋体" w:hAnsi="宋体" w:eastAsia="宋体" w:cs="宋体"/>
                <w:sz w:val="21"/>
                <w:szCs w:val="21"/>
                <w:lang w:val="en-US" w:eastAsia="zh-CN"/>
              </w:rPr>
              <w:t>提供承诺函并加盖投标人公章，内容须体现投标人负责承担相关厂商协调义务及可能涉及的一切对接费用）</w:t>
            </w:r>
          </w:p>
        </w:tc>
      </w:tr>
      <w:tr w14:paraId="30F4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31" w:type="dxa"/>
            <w:vMerge w:val="continue"/>
            <w:vAlign w:val="center"/>
          </w:tcPr>
          <w:p w14:paraId="07335599">
            <w:pPr>
              <w:adjustRightInd w:val="0"/>
              <w:snapToGrid w:val="0"/>
              <w:jc w:val="center"/>
              <w:rPr>
                <w:rFonts w:ascii="宋体" w:hAnsi="宋体" w:eastAsia="宋体" w:cs="宋体"/>
                <w:spacing w:val="-6"/>
                <w:sz w:val="21"/>
                <w:szCs w:val="21"/>
              </w:rPr>
            </w:pPr>
          </w:p>
        </w:tc>
        <w:tc>
          <w:tcPr>
            <w:tcW w:w="1080" w:type="dxa"/>
            <w:tcBorders>
              <w:top w:val="single" w:color="auto" w:sz="4" w:space="0"/>
            </w:tcBorders>
            <w:vAlign w:val="center"/>
          </w:tcPr>
          <w:p w14:paraId="57677D56">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实施方案</w:t>
            </w:r>
          </w:p>
        </w:tc>
        <w:tc>
          <w:tcPr>
            <w:tcW w:w="690" w:type="dxa"/>
            <w:vAlign w:val="center"/>
          </w:tcPr>
          <w:p w14:paraId="38403345">
            <w:pPr>
              <w:pStyle w:val="6"/>
              <w:spacing w:line="420" w:lineRule="exact"/>
              <w:ind w:firstLine="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6566" w:type="dxa"/>
            <w:vAlign w:val="center"/>
          </w:tcPr>
          <w:p w14:paraId="11FBAE8B">
            <w:pPr>
              <w:pStyle w:val="6"/>
              <w:spacing w:line="420" w:lineRule="exact"/>
              <w:ind w:firstLine="0"/>
              <w:rPr>
                <w:rFonts w:ascii="宋体" w:hAnsi="宋体" w:eastAsia="宋体" w:cs="宋体"/>
                <w:sz w:val="21"/>
                <w:szCs w:val="21"/>
                <w:lang w:val="hr-HR"/>
              </w:rPr>
            </w:pPr>
            <w:r>
              <w:rPr>
                <w:rFonts w:hint="eastAsia" w:ascii="宋体" w:hAnsi="宋体" w:eastAsia="宋体" w:cs="宋体"/>
                <w:sz w:val="21"/>
                <w:szCs w:val="21"/>
                <w:lang w:val="hr-HR"/>
              </w:rPr>
              <w:t>投标人能够结合本项目特点提供合理的实施方案：</w:t>
            </w:r>
          </w:p>
          <w:p w14:paraId="7F63C11E">
            <w:pPr>
              <w:pStyle w:val="6"/>
              <w:spacing w:line="420" w:lineRule="exact"/>
              <w:ind w:firstLine="0"/>
              <w:rPr>
                <w:rFonts w:ascii="宋体" w:hAnsi="宋体" w:eastAsia="宋体" w:cs="宋体"/>
                <w:sz w:val="21"/>
                <w:szCs w:val="21"/>
              </w:rPr>
            </w:pPr>
            <w:r>
              <w:rPr>
                <w:rFonts w:hint="eastAsia" w:ascii="宋体" w:hAnsi="宋体" w:eastAsia="宋体" w:cs="宋体"/>
                <w:sz w:val="21"/>
                <w:szCs w:val="21"/>
                <w:lang w:val="hr-HR"/>
              </w:rPr>
              <w:t>实施方案科学可行、操作性强：有明确的进度安排计划表（包含时间节点安排计划、人员安排计划等），对项目实施有具体可行的保障措施，针对本项目的</w:t>
            </w:r>
            <w:r>
              <w:rPr>
                <w:rFonts w:hint="eastAsia" w:ascii="宋体" w:hAnsi="宋体" w:eastAsia="宋体" w:cs="宋体"/>
                <w:sz w:val="21"/>
                <w:szCs w:val="21"/>
              </w:rPr>
              <w:t>安装调试、试运行</w:t>
            </w:r>
            <w:r>
              <w:rPr>
                <w:rFonts w:hint="eastAsia" w:ascii="宋体" w:hAnsi="宋体" w:eastAsia="宋体" w:cs="宋体"/>
                <w:sz w:val="21"/>
                <w:szCs w:val="21"/>
                <w:lang w:val="hr-HR"/>
              </w:rPr>
              <w:t>及验收方案清晰明确，项目质量承诺及违约保证措施等科学合理，完全满足项目要求的，得</w:t>
            </w:r>
            <w:r>
              <w:rPr>
                <w:rFonts w:hint="eastAsia" w:ascii="宋体" w:hAnsi="宋体" w:eastAsia="宋体" w:cs="宋体"/>
                <w:sz w:val="21"/>
                <w:szCs w:val="21"/>
                <w:lang w:val="en-US" w:eastAsia="zh-CN"/>
              </w:rPr>
              <w:t>8</w:t>
            </w:r>
            <w:r>
              <w:rPr>
                <w:rFonts w:hint="eastAsia" w:ascii="宋体" w:hAnsi="宋体" w:eastAsia="宋体" w:cs="宋体"/>
                <w:sz w:val="21"/>
                <w:szCs w:val="21"/>
                <w:lang w:val="hr-HR"/>
              </w:rPr>
              <w:t>分；实施方案一般：进度计划不够清晰合理，项目保障措施、</w:t>
            </w:r>
            <w:r>
              <w:rPr>
                <w:rFonts w:hint="eastAsia" w:ascii="宋体" w:hAnsi="宋体" w:eastAsia="宋体" w:cs="宋体"/>
                <w:sz w:val="21"/>
                <w:szCs w:val="21"/>
              </w:rPr>
              <w:t>安装调试、试运行</w:t>
            </w:r>
            <w:r>
              <w:rPr>
                <w:rFonts w:hint="eastAsia" w:ascii="宋体" w:hAnsi="宋体" w:eastAsia="宋体" w:cs="宋体"/>
                <w:sz w:val="21"/>
                <w:szCs w:val="21"/>
                <w:lang w:val="hr-HR"/>
              </w:rPr>
              <w:t>及验收方案针对性和可行性不高，有一定的操作难度，项目质量承诺及违约保证措施不够具体，但能基本满足项目要求的，得</w:t>
            </w:r>
            <w:r>
              <w:rPr>
                <w:rFonts w:hint="eastAsia" w:ascii="宋体" w:hAnsi="宋体" w:eastAsia="宋体" w:cs="宋体"/>
                <w:sz w:val="21"/>
                <w:szCs w:val="21"/>
              </w:rPr>
              <w:t>5</w:t>
            </w:r>
            <w:r>
              <w:rPr>
                <w:rFonts w:hint="eastAsia" w:ascii="宋体" w:hAnsi="宋体" w:eastAsia="宋体" w:cs="宋体"/>
                <w:sz w:val="21"/>
                <w:szCs w:val="21"/>
                <w:lang w:val="hr-HR"/>
              </w:rPr>
              <w:t>分；其他得</w:t>
            </w:r>
            <w:r>
              <w:rPr>
                <w:rFonts w:hint="eastAsia" w:ascii="宋体" w:hAnsi="宋体" w:eastAsia="宋体" w:cs="宋体"/>
                <w:sz w:val="21"/>
                <w:szCs w:val="21"/>
              </w:rPr>
              <w:t>3</w:t>
            </w:r>
            <w:r>
              <w:rPr>
                <w:rFonts w:hint="eastAsia" w:ascii="宋体" w:hAnsi="宋体" w:eastAsia="宋体" w:cs="宋体"/>
                <w:sz w:val="21"/>
                <w:szCs w:val="21"/>
                <w:lang w:val="hr-HR"/>
              </w:rPr>
              <w:t>分；未提供得0分。</w:t>
            </w:r>
          </w:p>
        </w:tc>
      </w:tr>
      <w:tr w14:paraId="76AF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31" w:type="dxa"/>
            <w:vMerge w:val="continue"/>
            <w:vAlign w:val="center"/>
          </w:tcPr>
          <w:p w14:paraId="2FB9E9C9">
            <w:pPr>
              <w:adjustRightInd w:val="0"/>
              <w:snapToGrid w:val="0"/>
              <w:jc w:val="center"/>
              <w:rPr>
                <w:rFonts w:ascii="宋体" w:hAnsi="宋体" w:eastAsia="宋体" w:cs="宋体"/>
                <w:spacing w:val="-6"/>
                <w:sz w:val="21"/>
                <w:szCs w:val="21"/>
              </w:rPr>
            </w:pPr>
          </w:p>
        </w:tc>
        <w:tc>
          <w:tcPr>
            <w:tcW w:w="1080" w:type="dxa"/>
            <w:tcBorders>
              <w:top w:val="single" w:color="auto" w:sz="4" w:space="0"/>
            </w:tcBorders>
            <w:vAlign w:val="center"/>
          </w:tcPr>
          <w:p w14:paraId="0A4AA1FC">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售后服务</w:t>
            </w:r>
          </w:p>
        </w:tc>
        <w:tc>
          <w:tcPr>
            <w:tcW w:w="690" w:type="dxa"/>
            <w:vAlign w:val="center"/>
          </w:tcPr>
          <w:p w14:paraId="6C34EB7A">
            <w:pPr>
              <w:pStyle w:val="6"/>
              <w:spacing w:line="420" w:lineRule="exact"/>
              <w:ind w:firstLine="0"/>
              <w:jc w:val="center"/>
              <w:rPr>
                <w:rFonts w:ascii="宋体" w:hAnsi="宋体" w:eastAsia="宋体" w:cs="宋体"/>
                <w:sz w:val="21"/>
                <w:szCs w:val="21"/>
              </w:rPr>
            </w:pPr>
            <w:r>
              <w:rPr>
                <w:rFonts w:hint="eastAsia" w:ascii="宋体" w:hAnsi="宋体" w:eastAsia="宋体" w:cs="宋体"/>
                <w:sz w:val="21"/>
                <w:szCs w:val="21"/>
              </w:rPr>
              <w:t>6</w:t>
            </w:r>
          </w:p>
        </w:tc>
        <w:tc>
          <w:tcPr>
            <w:tcW w:w="6566" w:type="dxa"/>
            <w:vAlign w:val="center"/>
          </w:tcPr>
          <w:p w14:paraId="453AAA98">
            <w:pPr>
              <w:pStyle w:val="8"/>
              <w:spacing w:line="480" w:lineRule="exact"/>
              <w:outlineLvl w:val="0"/>
              <w:rPr>
                <w:rFonts w:hAnsi="宋体" w:eastAsia="宋体" w:cs="宋体"/>
                <w:sz w:val="21"/>
                <w:lang w:val="hr-HR"/>
              </w:rPr>
            </w:pPr>
            <w:r>
              <w:rPr>
                <w:rFonts w:hint="eastAsia" w:hAnsi="宋体" w:eastAsia="宋体" w:cs="宋体"/>
                <w:sz w:val="21"/>
              </w:rPr>
              <w:t>投标人提供的售后服务方案切实可行，售后服务态度良好，售后服务响应承诺时间短，完全满足采购人对项目售后要求的得6分；售后服务方案一般，售后服务响应承诺时间基本满足采购人要求，基本满足采购人对项目售后要求的得4分；其他得2分；未提供得0分。</w:t>
            </w:r>
          </w:p>
        </w:tc>
      </w:tr>
      <w:tr w14:paraId="2433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731" w:type="dxa"/>
            <w:vMerge w:val="continue"/>
            <w:vAlign w:val="center"/>
          </w:tcPr>
          <w:p w14:paraId="42D0F89A">
            <w:pPr>
              <w:adjustRightInd w:val="0"/>
              <w:snapToGrid w:val="0"/>
              <w:jc w:val="center"/>
              <w:rPr>
                <w:rFonts w:ascii="宋体" w:hAnsi="宋体" w:eastAsia="宋体" w:cs="宋体"/>
                <w:spacing w:val="-6"/>
                <w:sz w:val="21"/>
                <w:szCs w:val="21"/>
              </w:rPr>
            </w:pPr>
          </w:p>
        </w:tc>
        <w:tc>
          <w:tcPr>
            <w:tcW w:w="1080" w:type="dxa"/>
            <w:tcBorders>
              <w:top w:val="single" w:color="auto" w:sz="4" w:space="0"/>
            </w:tcBorders>
            <w:vAlign w:val="center"/>
          </w:tcPr>
          <w:p w14:paraId="65DE09AE">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培训方案</w:t>
            </w:r>
          </w:p>
        </w:tc>
        <w:tc>
          <w:tcPr>
            <w:tcW w:w="690" w:type="dxa"/>
            <w:vAlign w:val="center"/>
          </w:tcPr>
          <w:p w14:paraId="12263AF8">
            <w:pPr>
              <w:pStyle w:val="6"/>
              <w:spacing w:line="420" w:lineRule="exact"/>
              <w:ind w:firstLine="0"/>
              <w:jc w:val="center"/>
              <w:rPr>
                <w:rFonts w:ascii="宋体" w:hAnsi="宋体" w:eastAsia="宋体" w:cs="宋体"/>
                <w:sz w:val="21"/>
                <w:szCs w:val="21"/>
              </w:rPr>
            </w:pPr>
            <w:r>
              <w:rPr>
                <w:rFonts w:hint="eastAsia" w:ascii="宋体" w:hAnsi="宋体" w:eastAsia="宋体" w:cs="宋体"/>
                <w:sz w:val="21"/>
                <w:szCs w:val="21"/>
              </w:rPr>
              <w:t>6</w:t>
            </w:r>
          </w:p>
        </w:tc>
        <w:tc>
          <w:tcPr>
            <w:tcW w:w="6566" w:type="dxa"/>
            <w:vAlign w:val="center"/>
          </w:tcPr>
          <w:p w14:paraId="5FB0FF01">
            <w:pPr>
              <w:pStyle w:val="6"/>
              <w:spacing w:line="420" w:lineRule="exact"/>
              <w:ind w:firstLine="0"/>
              <w:rPr>
                <w:rFonts w:ascii="宋体" w:hAnsi="宋体" w:eastAsia="宋体" w:cs="宋体"/>
                <w:sz w:val="21"/>
                <w:szCs w:val="21"/>
              </w:rPr>
            </w:pPr>
            <w:r>
              <w:rPr>
                <w:rFonts w:hint="eastAsia" w:ascii="宋体" w:hAnsi="宋体" w:eastAsia="宋体" w:cs="宋体"/>
                <w:sz w:val="21"/>
                <w:szCs w:val="21"/>
              </w:rPr>
              <w:t>提供针对本项目涉及的系统使用组织用户开展培训方案，</w:t>
            </w:r>
            <w:r>
              <w:rPr>
                <w:rFonts w:hint="eastAsia" w:ascii="宋体" w:hAnsi="宋体" w:eastAsia="宋体" w:cs="宋体"/>
                <w:sz w:val="21"/>
                <w:szCs w:val="21"/>
                <w:lang w:val="hr-HR"/>
              </w:rPr>
              <w:t>培训方案计划周详，培训内容清晰全面且科学合理，培训人员安排配备齐全，培训经验充足，完全满足采购人使用需要</w:t>
            </w:r>
            <w:r>
              <w:rPr>
                <w:rFonts w:hint="eastAsia" w:ascii="宋体" w:hAnsi="宋体" w:eastAsia="宋体" w:cs="宋体"/>
                <w:sz w:val="21"/>
                <w:szCs w:val="21"/>
              </w:rPr>
              <w:t>的</w:t>
            </w:r>
            <w:r>
              <w:rPr>
                <w:rFonts w:hint="eastAsia" w:ascii="宋体" w:hAnsi="宋体" w:eastAsia="宋体" w:cs="宋体"/>
                <w:sz w:val="21"/>
                <w:szCs w:val="21"/>
                <w:lang w:val="hr-HR"/>
              </w:rPr>
              <w:t>，得</w:t>
            </w:r>
            <w:r>
              <w:rPr>
                <w:rFonts w:hint="eastAsia" w:ascii="宋体" w:hAnsi="宋体" w:eastAsia="宋体" w:cs="宋体"/>
                <w:sz w:val="21"/>
                <w:szCs w:val="21"/>
              </w:rPr>
              <w:t>6</w:t>
            </w:r>
            <w:r>
              <w:rPr>
                <w:rFonts w:hint="eastAsia" w:ascii="宋体" w:hAnsi="宋体" w:eastAsia="宋体" w:cs="宋体"/>
                <w:sz w:val="21"/>
                <w:szCs w:val="21"/>
                <w:lang w:val="hr-HR"/>
              </w:rPr>
              <w:t>分；培训方案计划一般，培训内容基本全面，培训人员安排配备基本全面，有一定的培训经验，基本满足采购人要求的，得</w:t>
            </w:r>
            <w:r>
              <w:rPr>
                <w:rFonts w:hint="eastAsia" w:ascii="宋体" w:hAnsi="宋体" w:eastAsia="宋体" w:cs="宋体"/>
                <w:sz w:val="21"/>
                <w:szCs w:val="21"/>
              </w:rPr>
              <w:t>3</w:t>
            </w:r>
            <w:r>
              <w:rPr>
                <w:rFonts w:hint="eastAsia" w:ascii="宋体" w:hAnsi="宋体" w:eastAsia="宋体" w:cs="宋体"/>
                <w:sz w:val="21"/>
                <w:szCs w:val="21"/>
                <w:lang w:val="hr-HR"/>
              </w:rPr>
              <w:t>分；其他得1分；未提供得0分。</w:t>
            </w:r>
          </w:p>
        </w:tc>
      </w:tr>
      <w:tr w14:paraId="0DA4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811" w:type="dxa"/>
            <w:gridSpan w:val="2"/>
            <w:vAlign w:val="center"/>
          </w:tcPr>
          <w:p w14:paraId="6D36A5FB">
            <w:pPr>
              <w:pStyle w:val="6"/>
              <w:spacing w:line="420" w:lineRule="exact"/>
              <w:ind w:firstLine="0"/>
              <w:rPr>
                <w:rFonts w:ascii="宋体" w:hAnsi="宋体" w:eastAsia="宋体" w:cs="宋体"/>
                <w:sz w:val="21"/>
                <w:szCs w:val="21"/>
                <w:lang w:val="hr-HR"/>
              </w:rPr>
            </w:pPr>
            <w:r>
              <w:rPr>
                <w:rFonts w:hint="eastAsia" w:ascii="宋体" w:hAnsi="宋体" w:eastAsia="宋体" w:cs="宋体"/>
                <w:sz w:val="21"/>
                <w:szCs w:val="21"/>
                <w:lang w:val="hr-HR"/>
              </w:rPr>
              <w:t>合计</w:t>
            </w:r>
          </w:p>
        </w:tc>
        <w:tc>
          <w:tcPr>
            <w:tcW w:w="690" w:type="dxa"/>
            <w:tcBorders>
              <w:bottom w:val="single" w:color="auto" w:sz="4" w:space="0"/>
            </w:tcBorders>
            <w:vAlign w:val="center"/>
          </w:tcPr>
          <w:p w14:paraId="648A8338">
            <w:pPr>
              <w:pStyle w:val="6"/>
              <w:spacing w:line="420" w:lineRule="exact"/>
              <w:ind w:firstLine="0"/>
              <w:rPr>
                <w:rFonts w:ascii="宋体" w:hAnsi="宋体" w:eastAsia="宋体" w:cs="宋体"/>
                <w:sz w:val="21"/>
                <w:szCs w:val="21"/>
                <w:lang w:val="hr-HR"/>
              </w:rPr>
            </w:pPr>
            <w:r>
              <w:rPr>
                <w:rFonts w:hint="eastAsia" w:ascii="宋体" w:hAnsi="宋体" w:eastAsia="宋体" w:cs="宋体"/>
                <w:sz w:val="21"/>
                <w:szCs w:val="21"/>
                <w:lang w:val="hr-HR"/>
              </w:rPr>
              <w:fldChar w:fldCharType="begin"/>
            </w:r>
            <w:r>
              <w:rPr>
                <w:rFonts w:hint="eastAsia" w:ascii="宋体" w:hAnsi="宋体" w:eastAsia="宋体" w:cs="宋体"/>
                <w:sz w:val="21"/>
                <w:szCs w:val="21"/>
                <w:lang w:val="hr-HR"/>
              </w:rPr>
              <w:instrText xml:space="preserve"> =SUM(ABOVE) </w:instrText>
            </w:r>
            <w:r>
              <w:rPr>
                <w:rFonts w:hint="eastAsia" w:ascii="宋体" w:hAnsi="宋体" w:eastAsia="宋体" w:cs="宋体"/>
                <w:sz w:val="21"/>
                <w:szCs w:val="21"/>
                <w:lang w:val="hr-HR"/>
              </w:rPr>
              <w:fldChar w:fldCharType="separate"/>
            </w:r>
            <w:r>
              <w:rPr>
                <w:rFonts w:hint="eastAsia" w:ascii="宋体" w:hAnsi="宋体" w:eastAsia="宋体" w:cs="宋体"/>
                <w:sz w:val="21"/>
                <w:szCs w:val="21"/>
                <w:lang w:val="hr-HR"/>
              </w:rPr>
              <w:t>100</w:t>
            </w:r>
            <w:r>
              <w:rPr>
                <w:rFonts w:hint="eastAsia" w:ascii="宋体" w:hAnsi="宋体" w:eastAsia="宋体" w:cs="宋体"/>
                <w:sz w:val="21"/>
                <w:szCs w:val="21"/>
                <w:lang w:val="hr-HR"/>
              </w:rPr>
              <w:fldChar w:fldCharType="end"/>
            </w:r>
          </w:p>
        </w:tc>
        <w:tc>
          <w:tcPr>
            <w:tcW w:w="6566" w:type="dxa"/>
            <w:tcBorders>
              <w:bottom w:val="single" w:color="auto" w:sz="4" w:space="0"/>
            </w:tcBorders>
            <w:vAlign w:val="center"/>
          </w:tcPr>
          <w:p w14:paraId="30D8F10F">
            <w:pPr>
              <w:pStyle w:val="6"/>
              <w:spacing w:line="420" w:lineRule="exact"/>
              <w:ind w:firstLine="0"/>
              <w:rPr>
                <w:rFonts w:ascii="宋体" w:hAnsi="宋体" w:eastAsia="宋体" w:cs="宋体"/>
                <w:sz w:val="21"/>
                <w:szCs w:val="21"/>
                <w:lang w:val="hr-HR"/>
              </w:rPr>
            </w:pPr>
            <w:r>
              <w:rPr>
                <w:rFonts w:hint="eastAsia" w:ascii="宋体" w:hAnsi="宋体" w:eastAsia="宋体" w:cs="宋体"/>
                <w:sz w:val="21"/>
                <w:szCs w:val="21"/>
                <w:lang w:val="hr-HR"/>
              </w:rPr>
              <w:t>备注：投标供应商应对价格、商务、技术响应指标负责，若中标后不能如实准确地响应投标时承诺的指标</w:t>
            </w:r>
            <w:r>
              <w:rPr>
                <w:rFonts w:hint="eastAsia" w:ascii="宋体" w:hAnsi="宋体" w:cs="宋体"/>
                <w:sz w:val="21"/>
                <w:szCs w:val="21"/>
              </w:rPr>
              <w:t>描述</w:t>
            </w:r>
            <w:r>
              <w:rPr>
                <w:rFonts w:hint="eastAsia" w:ascii="宋体" w:hAnsi="宋体" w:eastAsia="宋体" w:cs="宋体"/>
                <w:sz w:val="21"/>
                <w:szCs w:val="21"/>
                <w:lang w:val="hr-HR"/>
              </w:rPr>
              <w:t>，差别较大存在欺诈行为的，采购人有权单方面无条件解除此次采购合同。</w:t>
            </w:r>
          </w:p>
        </w:tc>
      </w:tr>
    </w:tbl>
    <w:p w14:paraId="7CDA8119">
      <w:pPr>
        <w:rPr>
          <w:color w:val="000000" w:themeColor="text1"/>
          <w14:textFill>
            <w14:solidFill>
              <w14:schemeClr w14:val="tx1"/>
            </w14:solidFill>
          </w14:textFill>
        </w:rPr>
      </w:pPr>
    </w:p>
    <w:p w14:paraId="70FE6CD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ED8C4B"/>
    <w:multiLevelType w:val="multilevel"/>
    <w:tmpl w:val="00ED8C4B"/>
    <w:lvl w:ilvl="0" w:tentative="0">
      <w:start w:val="1"/>
      <w:numFmt w:val="decimal"/>
      <w:lvlText w:val="%1."/>
      <w:lvlJc w:val="left"/>
      <w:pPr>
        <w:ind w:left="360" w:hanging="360"/>
      </w:pPr>
      <w:rPr>
        <w:rFonts w:hint="default" w:asciiTheme="minorEastAsia" w:hAnsiTheme="minorEastAsia" w:eastAsiaTheme="minorEastAsia"/>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F1733A"/>
    <w:multiLevelType w:val="multilevel"/>
    <w:tmpl w:val="19F1733A"/>
    <w:lvl w:ilvl="0" w:tentative="0">
      <w:start w:val="1"/>
      <w:numFmt w:val="decimal"/>
      <w:lvlText w:val="%1."/>
      <w:lvlJc w:val="left"/>
      <w:pPr>
        <w:ind w:left="360" w:hanging="360"/>
      </w:pPr>
      <w:rPr>
        <w:rFonts w:hint="default" w:asciiTheme="minorEastAsia" w:hAnsiTheme="minorEastAsia" w:eastAsiaTheme="minorEastAsia"/>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A620F6E"/>
    <w:multiLevelType w:val="multilevel"/>
    <w:tmpl w:val="3A620F6E"/>
    <w:lvl w:ilvl="0" w:tentative="0">
      <w:start w:val="1"/>
      <w:numFmt w:val="decimal"/>
      <w:lvlText w:val="%1."/>
      <w:lvlJc w:val="left"/>
      <w:pPr>
        <w:ind w:left="360" w:hanging="360"/>
      </w:pPr>
      <w:rPr>
        <w:rFonts w:hint="default" w:asciiTheme="minorEastAsia" w:hAnsiTheme="minorEastAsia" w:eastAsiaTheme="minorEastAsia"/>
        <w:b w:val="0"/>
        <w:bCs w:val="0"/>
        <w:sz w:val="21"/>
        <w:szCs w:val="2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3DC0987"/>
    <w:multiLevelType w:val="multilevel"/>
    <w:tmpl w:val="43DC0987"/>
    <w:lvl w:ilvl="0" w:tentative="0">
      <w:start w:val="1"/>
      <w:numFmt w:val="decimal"/>
      <w:pStyle w:val="2"/>
      <w:lvlText w:val="%1."/>
      <w:lvlJc w:val="left"/>
      <w:pPr>
        <w:ind w:left="0" w:firstLine="0"/>
      </w:pPr>
      <w:rPr>
        <w:rFonts w:hint="eastAsia" w:ascii="宋体" w:hAnsi="仿宋" w:eastAsia="宋体"/>
        <w:b/>
        <w:bCs w:val="0"/>
        <w:i w:val="0"/>
        <w:iCs w:val="0"/>
        <w:caps w:val="0"/>
        <w:smallCaps w:val="0"/>
        <w:strike w:val="0"/>
        <w:dstrike w:val="0"/>
        <w:vanish w:val="0"/>
        <w:color w:val="000000"/>
        <w:spacing w:val="0"/>
        <w:position w:val="0"/>
        <w:sz w:val="28"/>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lvlText w:val="1.%2"/>
      <w:lvlJc w:val="left"/>
      <w:pPr>
        <w:ind w:left="284" w:firstLine="0"/>
      </w:pPr>
      <w:rPr>
        <w:rFonts w:hint="eastAsia"/>
        <w:b/>
        <w:bCs w:val="0"/>
        <w:i w:val="0"/>
      </w:rPr>
    </w:lvl>
    <w:lvl w:ilvl="2" w:tentative="0">
      <w:start w:val="1"/>
      <w:numFmt w:val="decimal"/>
      <w:pStyle w:val="4"/>
      <w:lvlText w:val="%1.%2.%3."/>
      <w:lvlJc w:val="left"/>
      <w:pPr>
        <w:ind w:left="284" w:firstLine="0"/>
      </w:pPr>
      <w:rPr>
        <w:rFonts w:hint="eastAsia" w:ascii="宋体" w:hAnsi="仿宋" w:eastAsia="宋体"/>
        <w:b/>
        <w:i w:val="0"/>
        <w:sz w:val="24"/>
      </w:rPr>
    </w:lvl>
    <w:lvl w:ilvl="3" w:tentative="0">
      <w:start w:val="1"/>
      <w:numFmt w:val="decimal"/>
      <w:lvlText w:val="%1.%2.%3.%4."/>
      <w:lvlJc w:val="left"/>
      <w:pPr>
        <w:ind w:left="0" w:firstLine="0"/>
      </w:pPr>
      <w:rPr>
        <w:rFonts w:hint="eastAsia" w:ascii="宋体" w:hAnsi="仿宋" w:eastAsia="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pStyle w:val="5"/>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500F2446"/>
    <w:multiLevelType w:val="multilevel"/>
    <w:tmpl w:val="500F2446"/>
    <w:lvl w:ilvl="0" w:tentative="0">
      <w:start w:val="1"/>
      <w:numFmt w:val="decimal"/>
      <w:lvlText w:val="%1."/>
      <w:lvlJc w:val="left"/>
      <w:pPr>
        <w:ind w:left="360" w:hanging="360"/>
      </w:pPr>
      <w:rPr>
        <w:rFonts w:hint="default" w:asciiTheme="minorEastAsia" w:hAnsiTheme="minorEastAsia" w:eastAsiaTheme="minorEastAsia"/>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84F7082"/>
    <w:multiLevelType w:val="multilevel"/>
    <w:tmpl w:val="684F7082"/>
    <w:lvl w:ilvl="0" w:tentative="0">
      <w:start w:val="1"/>
      <w:numFmt w:val="decimal"/>
      <w:lvlText w:val="%1."/>
      <w:lvlJc w:val="left"/>
      <w:pPr>
        <w:ind w:left="113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16F1184"/>
    <w:multiLevelType w:val="multilevel"/>
    <w:tmpl w:val="716F1184"/>
    <w:lvl w:ilvl="0" w:tentative="0">
      <w:start w:val="1"/>
      <w:numFmt w:val="decimal"/>
      <w:lvlText w:val="%1."/>
      <w:lvlJc w:val="left"/>
      <w:pPr>
        <w:ind w:left="360" w:hanging="360"/>
      </w:pPr>
      <w:rPr>
        <w:rFonts w:hint="default" w:asciiTheme="minorEastAsia" w:hAnsiTheme="minorEastAsia" w:eastAsiaTheme="minorEastAsia"/>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E1B31D7"/>
    <w:multiLevelType w:val="multilevel"/>
    <w:tmpl w:val="7E1B31D7"/>
    <w:lvl w:ilvl="0" w:tentative="0">
      <w:start w:val="1"/>
      <w:numFmt w:val="decimal"/>
      <w:lvlText w:val="%1."/>
      <w:lvlJc w:val="left"/>
      <w:pPr>
        <w:ind w:left="360" w:hanging="360"/>
      </w:pPr>
      <w:rPr>
        <w:rFonts w:hint="default" w:asciiTheme="minorEastAsia" w:hAnsiTheme="minorEastAsia" w:eastAsiaTheme="minorEastAsia"/>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5"/>
  </w:num>
  <w:num w:numId="3">
    <w:abstractNumId w:val="2"/>
  </w:num>
  <w:num w:numId="4">
    <w:abstractNumId w:val="4"/>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41B"/>
    <w:rsid w:val="000E1BC4"/>
    <w:rsid w:val="000E59C0"/>
    <w:rsid w:val="000F68E2"/>
    <w:rsid w:val="001338B7"/>
    <w:rsid w:val="0014537A"/>
    <w:rsid w:val="00155390"/>
    <w:rsid w:val="00163E4E"/>
    <w:rsid w:val="001B3E45"/>
    <w:rsid w:val="001B7A27"/>
    <w:rsid w:val="002666DF"/>
    <w:rsid w:val="00270B8A"/>
    <w:rsid w:val="002B4536"/>
    <w:rsid w:val="002E1839"/>
    <w:rsid w:val="0032735E"/>
    <w:rsid w:val="00356092"/>
    <w:rsid w:val="003770B9"/>
    <w:rsid w:val="004169E3"/>
    <w:rsid w:val="00470249"/>
    <w:rsid w:val="004829EF"/>
    <w:rsid w:val="004A17A2"/>
    <w:rsid w:val="004B6731"/>
    <w:rsid w:val="00551A46"/>
    <w:rsid w:val="00567F10"/>
    <w:rsid w:val="005F7B63"/>
    <w:rsid w:val="006D341B"/>
    <w:rsid w:val="006F349C"/>
    <w:rsid w:val="006F757C"/>
    <w:rsid w:val="007054E2"/>
    <w:rsid w:val="00756366"/>
    <w:rsid w:val="00765F83"/>
    <w:rsid w:val="007C4FF5"/>
    <w:rsid w:val="007E1E87"/>
    <w:rsid w:val="007F294E"/>
    <w:rsid w:val="00857D16"/>
    <w:rsid w:val="009159D7"/>
    <w:rsid w:val="009269BC"/>
    <w:rsid w:val="009A4A0E"/>
    <w:rsid w:val="009A67A2"/>
    <w:rsid w:val="00A16CC3"/>
    <w:rsid w:val="00AD3F1C"/>
    <w:rsid w:val="00B40D64"/>
    <w:rsid w:val="00B715DA"/>
    <w:rsid w:val="00B73DA1"/>
    <w:rsid w:val="00BA7F68"/>
    <w:rsid w:val="00BF2DB0"/>
    <w:rsid w:val="00C006BC"/>
    <w:rsid w:val="00C33FE9"/>
    <w:rsid w:val="00C4163D"/>
    <w:rsid w:val="00C719C1"/>
    <w:rsid w:val="00C77481"/>
    <w:rsid w:val="00C831A3"/>
    <w:rsid w:val="00D15964"/>
    <w:rsid w:val="00D70811"/>
    <w:rsid w:val="00D82F61"/>
    <w:rsid w:val="00DD5E9C"/>
    <w:rsid w:val="00DD6462"/>
    <w:rsid w:val="00DE3CD1"/>
    <w:rsid w:val="00DF36EA"/>
    <w:rsid w:val="00E22FC8"/>
    <w:rsid w:val="00E36E4D"/>
    <w:rsid w:val="00F54CCA"/>
    <w:rsid w:val="00F776A1"/>
    <w:rsid w:val="00F77BC8"/>
    <w:rsid w:val="00FD799F"/>
    <w:rsid w:val="3E290B10"/>
    <w:rsid w:val="7B7C6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9"/>
    <w:unhideWhenUsed/>
    <w:qFormat/>
    <w:uiPriority w:val="0"/>
    <w:pPr>
      <w:keepNext/>
      <w:keepLines/>
      <w:numPr>
        <w:ilvl w:val="0"/>
        <w:numId w:val="1"/>
      </w:numPr>
      <w:spacing w:line="360" w:lineRule="auto"/>
      <w:jc w:val="left"/>
      <w:outlineLvl w:val="2"/>
    </w:pPr>
    <w:rPr>
      <w:rFonts w:eastAsia="宋体"/>
      <w:b/>
      <w:bCs/>
      <w:sz w:val="28"/>
      <w:szCs w:val="32"/>
    </w:rPr>
  </w:style>
  <w:style w:type="paragraph" w:styleId="3">
    <w:name w:val="heading 4"/>
    <w:basedOn w:val="1"/>
    <w:next w:val="1"/>
    <w:link w:val="20"/>
    <w:unhideWhenUsed/>
    <w:qFormat/>
    <w:uiPriority w:val="9"/>
    <w:pPr>
      <w:keepNext/>
      <w:keepLines/>
      <w:spacing w:line="360" w:lineRule="auto"/>
      <w:jc w:val="left"/>
      <w:outlineLvl w:val="3"/>
    </w:pPr>
    <w:rPr>
      <w:rFonts w:eastAsia="宋体" w:asciiTheme="majorHAnsi" w:hAnsiTheme="majorHAnsi" w:cstheme="majorBidi"/>
      <w:b/>
      <w:bCs/>
      <w:sz w:val="24"/>
      <w:szCs w:val="28"/>
    </w:rPr>
  </w:style>
  <w:style w:type="paragraph" w:styleId="4">
    <w:name w:val="heading 5"/>
    <w:basedOn w:val="1"/>
    <w:next w:val="1"/>
    <w:link w:val="21"/>
    <w:unhideWhenUsed/>
    <w:qFormat/>
    <w:uiPriority w:val="9"/>
    <w:pPr>
      <w:keepNext/>
      <w:keepLines/>
      <w:numPr>
        <w:ilvl w:val="2"/>
        <w:numId w:val="1"/>
      </w:numPr>
      <w:spacing w:line="360" w:lineRule="auto"/>
      <w:jc w:val="left"/>
      <w:outlineLvl w:val="4"/>
    </w:pPr>
    <w:rPr>
      <w:rFonts w:eastAsia="宋体"/>
      <w:bCs/>
      <w:sz w:val="24"/>
      <w:szCs w:val="28"/>
    </w:rPr>
  </w:style>
  <w:style w:type="paragraph" w:styleId="5">
    <w:name w:val="heading 9"/>
    <w:basedOn w:val="1"/>
    <w:next w:val="1"/>
    <w:link w:val="22"/>
    <w:semiHidden/>
    <w:unhideWhenUsed/>
    <w:qFormat/>
    <w:uiPriority w:val="9"/>
    <w:pPr>
      <w:keepNext/>
      <w:keepLines/>
      <w:numPr>
        <w:ilvl w:val="6"/>
        <w:numId w:val="1"/>
      </w:numPr>
      <w:spacing w:before="240" w:after="64" w:line="320" w:lineRule="auto"/>
      <w:jc w:val="left"/>
      <w:outlineLvl w:val="8"/>
    </w:pPr>
    <w:rPr>
      <w:rFonts w:asciiTheme="majorHAnsi" w:hAnsiTheme="majorHAnsi" w:eastAsiaTheme="majorEastAsia" w:cstheme="majorBidi"/>
      <w:sz w:val="24"/>
      <w:szCs w:val="21"/>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widowControl/>
      <w:ind w:firstLine="420"/>
    </w:pPr>
    <w:rPr>
      <w:kern w:val="0"/>
      <w:sz w:val="20"/>
      <w:szCs w:val="20"/>
    </w:rPr>
  </w:style>
  <w:style w:type="paragraph" w:styleId="7">
    <w:name w:val="annotation text"/>
    <w:basedOn w:val="1"/>
    <w:link w:val="23"/>
    <w:semiHidden/>
    <w:unhideWhenUsed/>
    <w:qFormat/>
    <w:uiPriority w:val="99"/>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24"/>
    <w:semiHidden/>
    <w:unhideWhenUsed/>
    <w:qFormat/>
    <w:uiPriority w:val="99"/>
    <w:rPr>
      <w:sz w:val="18"/>
      <w:szCs w:val="18"/>
    </w:rPr>
  </w:style>
  <w:style w:type="paragraph" w:styleId="10">
    <w:name w:val="footer"/>
    <w:basedOn w:val="1"/>
    <w:link w:val="17"/>
    <w:unhideWhenUsed/>
    <w:uiPriority w:val="99"/>
    <w:pPr>
      <w:tabs>
        <w:tab w:val="center" w:pos="4153"/>
        <w:tab w:val="right" w:pos="8306"/>
      </w:tabs>
      <w:snapToGrid w:val="0"/>
      <w:jc w:val="left"/>
    </w:pPr>
    <w:rPr>
      <w:sz w:val="18"/>
      <w:szCs w:val="18"/>
    </w:rPr>
  </w:style>
  <w:style w:type="paragraph" w:styleId="11">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semiHidden/>
    <w:unhideWhenUsed/>
    <w:qFormat/>
    <w:uiPriority w:val="99"/>
    <w:rPr>
      <w:sz w:val="21"/>
      <w:szCs w:val="21"/>
    </w:rPr>
  </w:style>
  <w:style w:type="character" w:customStyle="1" w:styleId="16">
    <w:name w:val="页眉 字符"/>
    <w:basedOn w:val="14"/>
    <w:link w:val="11"/>
    <w:qFormat/>
    <w:uiPriority w:val="99"/>
    <w:rPr>
      <w:sz w:val="18"/>
      <w:szCs w:val="18"/>
    </w:rPr>
  </w:style>
  <w:style w:type="character" w:customStyle="1" w:styleId="17">
    <w:name w:val="页脚 字符"/>
    <w:basedOn w:val="14"/>
    <w:link w:val="10"/>
    <w:qFormat/>
    <w:uiPriority w:val="99"/>
    <w:rPr>
      <w:sz w:val="18"/>
      <w:szCs w:val="18"/>
    </w:rPr>
  </w:style>
  <w:style w:type="paragraph" w:styleId="18">
    <w:name w:val="List Paragraph"/>
    <w:basedOn w:val="1"/>
    <w:qFormat/>
    <w:uiPriority w:val="34"/>
    <w:pPr>
      <w:ind w:firstLine="420" w:firstLineChars="200"/>
    </w:pPr>
  </w:style>
  <w:style w:type="character" w:customStyle="1" w:styleId="19">
    <w:name w:val="标题 3 字符"/>
    <w:basedOn w:val="14"/>
    <w:link w:val="2"/>
    <w:qFormat/>
    <w:uiPriority w:val="0"/>
    <w:rPr>
      <w:rFonts w:eastAsia="宋体"/>
      <w:b/>
      <w:bCs/>
      <w:sz w:val="28"/>
      <w:szCs w:val="32"/>
    </w:rPr>
  </w:style>
  <w:style w:type="character" w:customStyle="1" w:styleId="20">
    <w:name w:val="标题 4 字符"/>
    <w:basedOn w:val="14"/>
    <w:link w:val="3"/>
    <w:qFormat/>
    <w:uiPriority w:val="9"/>
    <w:rPr>
      <w:rFonts w:eastAsia="宋体" w:asciiTheme="majorHAnsi" w:hAnsiTheme="majorHAnsi" w:cstheme="majorBidi"/>
      <w:b/>
      <w:bCs/>
      <w:sz w:val="24"/>
      <w:szCs w:val="28"/>
    </w:rPr>
  </w:style>
  <w:style w:type="character" w:customStyle="1" w:styleId="21">
    <w:name w:val="标题 5 字符"/>
    <w:basedOn w:val="14"/>
    <w:link w:val="4"/>
    <w:qFormat/>
    <w:uiPriority w:val="9"/>
    <w:rPr>
      <w:rFonts w:eastAsia="宋体"/>
      <w:bCs/>
      <w:sz w:val="24"/>
      <w:szCs w:val="28"/>
    </w:rPr>
  </w:style>
  <w:style w:type="character" w:customStyle="1" w:styleId="22">
    <w:name w:val="标题 9 字符"/>
    <w:basedOn w:val="14"/>
    <w:link w:val="5"/>
    <w:semiHidden/>
    <w:qFormat/>
    <w:uiPriority w:val="9"/>
    <w:rPr>
      <w:rFonts w:asciiTheme="majorHAnsi" w:hAnsiTheme="majorHAnsi" w:eastAsiaTheme="majorEastAsia" w:cstheme="majorBidi"/>
      <w:sz w:val="24"/>
      <w:szCs w:val="21"/>
    </w:rPr>
  </w:style>
  <w:style w:type="character" w:customStyle="1" w:styleId="23">
    <w:name w:val="批注文字 字符"/>
    <w:basedOn w:val="14"/>
    <w:link w:val="7"/>
    <w:semiHidden/>
    <w:qFormat/>
    <w:uiPriority w:val="99"/>
  </w:style>
  <w:style w:type="character" w:customStyle="1" w:styleId="24">
    <w:name w:val="批注框文本 字符"/>
    <w:basedOn w:val="14"/>
    <w:link w:val="9"/>
    <w:semiHidden/>
    <w:qFormat/>
    <w:uiPriority w:val="99"/>
    <w:rPr>
      <w:sz w:val="18"/>
      <w:szCs w:val="18"/>
    </w:rPr>
  </w:style>
  <w:style w:type="paragraph" w:customStyle="1" w:styleId="25">
    <w:name w:val="Revision"/>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6">
    <w:name w:val="Default"/>
    <w:autoRedefine/>
    <w:qFormat/>
    <w:uiPriority w:val="0"/>
    <w:pPr>
      <w:widowControl w:val="0"/>
      <w:autoSpaceDE w:val="0"/>
      <w:autoSpaceDN w:val="0"/>
      <w:adjustRightInd w:val="0"/>
    </w:pPr>
    <w:rPr>
      <w:rFonts w:ascii="宋体" w:cs="宋体" w:hAnsiTheme="minorHAnsi" w:eastAsiaTheme="minorEastAsia"/>
      <w:color w:val="000000"/>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2713</Words>
  <Characters>2758</Characters>
  <Lines>9</Lines>
  <Paragraphs>2</Paragraphs>
  <TotalTime>0</TotalTime>
  <ScaleCrop>false</ScaleCrop>
  <LinksUpToDate>false</LinksUpToDate>
  <CharactersWithSpaces>2760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2024-03-28T09:51:00Z</dcterms:created>
  <dc:creator>Administrator</dc:creator>
  <cp:lastModifiedBy>娟</cp:lastModifiedBy>
  <cp:lastPrinted>2025-09-12T02:28:35Z</cp:lastPrinted>
  <dcterms:modified xsi:type="dcterms:W3CDTF">2025-09-12T02:28:45Z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eyJoZGlkIjoiMjc0NjAwYzVlN2ExOTAwNWIxODA4NTFkZjI4NGY3ODIiLCJ1c2VySWQiOiIzODM0OTQ0MzkifQ==</vt:lpwstr>
  </property>
  <property fmtid="{D5CDD505-2E9C-101B-9397-08002B2CF9AE}" pid="3" name="KSOProductBuildVer">
    <vt:lpwstr>2052-12.1.0.22529</vt:lpwstr>
  </property>
  <property fmtid="{D5CDD505-2E9C-101B-9397-08002B2CF9AE}" pid="4" name="ICV">
    <vt:lpwstr>F280E20898BB4E469CC3E8FADB696D9A_13</vt:lpwstr>
  </property>
</Properties>
</file>