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6956D5">
      <w:pPr>
        <w:widowControl/>
        <w:snapToGrid w:val="0"/>
        <w:spacing w:line="276" w:lineRule="auto"/>
        <w:ind w:left="-349" w:leftChars="-166" w:firstLine="4096" w:firstLineChars="1700"/>
        <w:jc w:val="left"/>
        <w:rPr>
          <w:rFonts w:hint="eastAsia" w:ascii="黑体" w:hAnsi="仿宋" w:eastAsia="黑体" w:cs="宋体"/>
          <w:b/>
          <w:kern w:val="0"/>
          <w:sz w:val="24"/>
          <w:szCs w:val="24"/>
        </w:rPr>
      </w:pPr>
      <w:r>
        <w:rPr>
          <w:rFonts w:hint="eastAsia"/>
          <w:b/>
          <w:sz w:val="24"/>
          <w:szCs w:val="24"/>
          <w:lang w:val="en-US" w:eastAsia="zh-CN"/>
        </w:rPr>
        <w:t>医务管理系统</w:t>
      </w:r>
      <w:r>
        <w:rPr>
          <w:rFonts w:hint="eastAsia" w:ascii="黑体" w:hAnsi="仿宋" w:eastAsia="黑体" w:cs="宋体"/>
          <w:b/>
          <w:kern w:val="0"/>
          <w:sz w:val="24"/>
          <w:szCs w:val="24"/>
        </w:rPr>
        <w:t>采购需求</w:t>
      </w:r>
    </w:p>
    <w:p w14:paraId="0267E445">
      <w:pPr>
        <w:pStyle w:val="11"/>
        <w:rPr>
          <w:rFonts w:hint="eastAsia"/>
          <w:sz w:val="24"/>
          <w:szCs w:val="24"/>
          <w:lang w:val="en-US" w:eastAsia="zh-CN"/>
        </w:rPr>
      </w:pPr>
    </w:p>
    <w:p w14:paraId="642AF23B">
      <w:pPr>
        <w:pStyle w:val="2"/>
        <w:bidi w:val="0"/>
        <w:ind w:left="0" w:leftChars="0" w:firstLine="0" w:firstLineChars="0"/>
        <w:rPr>
          <w:sz w:val="24"/>
          <w:szCs w:val="24"/>
        </w:rPr>
      </w:pPr>
      <w:r>
        <w:rPr>
          <w:sz w:val="24"/>
          <w:szCs w:val="24"/>
        </w:rPr>
        <w:t>项目采购清单</w:t>
      </w:r>
    </w:p>
    <w:tbl>
      <w:tblPr>
        <w:tblStyle w:val="17"/>
        <w:tblW w:w="8761" w:type="dxa"/>
        <w:jc w:val="center"/>
        <w:tblLayout w:type="fixed"/>
        <w:tblCellMar>
          <w:top w:w="0" w:type="dxa"/>
          <w:left w:w="108" w:type="dxa"/>
          <w:bottom w:w="0" w:type="dxa"/>
          <w:right w:w="108" w:type="dxa"/>
        </w:tblCellMar>
      </w:tblPr>
      <w:tblGrid>
        <w:gridCol w:w="837"/>
        <w:gridCol w:w="1198"/>
        <w:gridCol w:w="2269"/>
        <w:gridCol w:w="1103"/>
        <w:gridCol w:w="709"/>
        <w:gridCol w:w="1007"/>
        <w:gridCol w:w="1638"/>
      </w:tblGrid>
      <w:tr w14:paraId="252DF172">
        <w:tblPrEx>
          <w:tblCellMar>
            <w:top w:w="0" w:type="dxa"/>
            <w:left w:w="108" w:type="dxa"/>
            <w:bottom w:w="0" w:type="dxa"/>
            <w:right w:w="108" w:type="dxa"/>
          </w:tblCellMar>
        </w:tblPrEx>
        <w:trPr>
          <w:trHeight w:val="595" w:hRule="atLeast"/>
          <w:jc w:val="center"/>
        </w:trPr>
        <w:tc>
          <w:tcPr>
            <w:tcW w:w="837" w:type="dxa"/>
            <w:tcBorders>
              <w:top w:val="single" w:color="auto" w:sz="4" w:space="0"/>
              <w:left w:val="single" w:color="auto" w:sz="4" w:space="0"/>
              <w:bottom w:val="single" w:color="auto" w:sz="4" w:space="0"/>
              <w:right w:val="single" w:color="auto" w:sz="4" w:space="0"/>
            </w:tcBorders>
            <w:shd w:val="pct10" w:color="AEAAAA" w:themeColor="background2" w:themeShade="BF" w:fill="D0CECE" w:themeFill="background2" w:themeFillShade="E6"/>
            <w:vAlign w:val="center"/>
          </w:tcPr>
          <w:p w14:paraId="4A3C5313">
            <w:pPr>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序号</w:t>
            </w:r>
          </w:p>
        </w:tc>
        <w:tc>
          <w:tcPr>
            <w:tcW w:w="1198" w:type="dxa"/>
            <w:tcBorders>
              <w:top w:val="single" w:color="auto" w:sz="4" w:space="0"/>
              <w:left w:val="nil"/>
              <w:bottom w:val="single" w:color="auto" w:sz="4" w:space="0"/>
              <w:right w:val="single" w:color="auto" w:sz="4" w:space="0"/>
            </w:tcBorders>
            <w:shd w:val="pct10" w:color="AEAAAA" w:themeColor="background2" w:themeShade="BF" w:fill="D0CECE" w:themeFill="background2" w:themeFillShade="E6"/>
            <w:vAlign w:val="center"/>
          </w:tcPr>
          <w:p w14:paraId="1245FF9B">
            <w:pPr>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lang w:val="en-US" w:eastAsia="zh-CN"/>
              </w:rPr>
              <w:t>项目</w:t>
            </w:r>
            <w:r>
              <w:rPr>
                <w:rFonts w:hint="eastAsia" w:asciiTheme="minorEastAsia" w:hAnsiTheme="minorEastAsia" w:eastAsiaTheme="minorEastAsia"/>
                <w:b/>
                <w:sz w:val="24"/>
                <w:szCs w:val="24"/>
              </w:rPr>
              <w:t>名称</w:t>
            </w:r>
          </w:p>
        </w:tc>
        <w:tc>
          <w:tcPr>
            <w:tcW w:w="2269" w:type="dxa"/>
            <w:tcBorders>
              <w:top w:val="single" w:color="auto" w:sz="4" w:space="0"/>
              <w:left w:val="nil"/>
              <w:bottom w:val="single" w:color="auto" w:sz="4" w:space="0"/>
              <w:right w:val="single" w:color="auto" w:sz="4" w:space="0"/>
            </w:tcBorders>
            <w:shd w:val="pct10" w:color="AEAAAA" w:themeColor="background2" w:themeShade="BF" w:fill="D0CECE" w:themeFill="background2" w:themeFillShade="E6"/>
            <w:vAlign w:val="center"/>
          </w:tcPr>
          <w:p w14:paraId="0A4FBC8E">
            <w:pPr>
              <w:spacing w:line="360" w:lineRule="auto"/>
              <w:jc w:val="center"/>
              <w:rPr>
                <w:rFonts w:hint="eastAsia" w:asciiTheme="minorEastAsia" w:hAnsiTheme="minorEastAsia" w:eastAsiaTheme="minorEastAsia"/>
                <w:b/>
                <w:sz w:val="24"/>
                <w:szCs w:val="24"/>
                <w:lang w:val="en-US" w:eastAsia="zh-CN"/>
              </w:rPr>
            </w:pPr>
            <w:r>
              <w:rPr>
                <w:rFonts w:hint="eastAsia" w:asciiTheme="minorEastAsia" w:hAnsiTheme="minorEastAsia" w:eastAsiaTheme="minorEastAsia"/>
                <w:b/>
                <w:sz w:val="24"/>
                <w:szCs w:val="24"/>
                <w:lang w:val="en-US" w:eastAsia="zh-CN"/>
              </w:rPr>
              <w:t>系统名称</w:t>
            </w:r>
          </w:p>
        </w:tc>
        <w:tc>
          <w:tcPr>
            <w:tcW w:w="1103" w:type="dxa"/>
            <w:tcBorders>
              <w:top w:val="single" w:color="auto" w:sz="4" w:space="0"/>
              <w:left w:val="nil"/>
              <w:bottom w:val="single" w:color="auto" w:sz="4" w:space="0"/>
              <w:right w:val="single" w:color="auto" w:sz="4" w:space="0"/>
            </w:tcBorders>
            <w:shd w:val="pct10" w:color="AEAAAA" w:themeColor="background2" w:themeShade="BF" w:fill="D0CECE" w:themeFill="background2" w:themeFillShade="E6"/>
            <w:vAlign w:val="center"/>
          </w:tcPr>
          <w:p w14:paraId="37F4E85D">
            <w:pPr>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数量</w:t>
            </w:r>
          </w:p>
        </w:tc>
        <w:tc>
          <w:tcPr>
            <w:tcW w:w="709" w:type="dxa"/>
            <w:tcBorders>
              <w:top w:val="single" w:color="auto" w:sz="4" w:space="0"/>
              <w:left w:val="single" w:color="auto" w:sz="4" w:space="0"/>
              <w:bottom w:val="single" w:color="auto" w:sz="4" w:space="0"/>
              <w:right w:val="single" w:color="auto" w:sz="4" w:space="0"/>
            </w:tcBorders>
            <w:shd w:val="pct10" w:color="AEAAAA" w:themeColor="background2" w:themeShade="BF" w:fill="D0CECE" w:themeFill="background2" w:themeFillShade="E6"/>
            <w:vAlign w:val="center"/>
          </w:tcPr>
          <w:p w14:paraId="4DCE6749">
            <w:pPr>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单位</w:t>
            </w:r>
          </w:p>
        </w:tc>
        <w:tc>
          <w:tcPr>
            <w:tcW w:w="1007" w:type="dxa"/>
            <w:tcBorders>
              <w:top w:val="single" w:color="auto" w:sz="4" w:space="0"/>
              <w:left w:val="nil"/>
              <w:bottom w:val="single" w:color="auto" w:sz="4" w:space="0"/>
              <w:right w:val="single" w:color="auto" w:sz="4" w:space="0"/>
            </w:tcBorders>
            <w:shd w:val="pct10" w:color="AEAAAA" w:themeColor="background2" w:themeShade="BF" w:fill="D0CECE" w:themeFill="background2" w:themeFillShade="E6"/>
            <w:vAlign w:val="center"/>
          </w:tcPr>
          <w:p w14:paraId="3FACFA1E">
            <w:pPr>
              <w:spacing w:line="360" w:lineRule="auto"/>
              <w:rPr>
                <w:rFonts w:hint="default" w:asciiTheme="minorEastAsia" w:hAnsiTheme="minorEastAsia" w:eastAsiaTheme="minorEastAsia"/>
                <w:b/>
                <w:sz w:val="24"/>
                <w:szCs w:val="24"/>
                <w:lang w:val="en-US" w:eastAsia="zh-CN"/>
              </w:rPr>
            </w:pPr>
            <w:r>
              <w:rPr>
                <w:rFonts w:hint="eastAsia" w:asciiTheme="minorEastAsia" w:hAnsiTheme="minorEastAsia" w:eastAsiaTheme="minorEastAsia"/>
                <w:b/>
                <w:sz w:val="24"/>
                <w:szCs w:val="24"/>
                <w:lang w:val="en-US" w:eastAsia="zh-CN"/>
              </w:rPr>
              <w:t>采购类别</w:t>
            </w:r>
          </w:p>
        </w:tc>
        <w:tc>
          <w:tcPr>
            <w:tcW w:w="1638" w:type="dxa"/>
            <w:tcBorders>
              <w:top w:val="single" w:color="auto" w:sz="4" w:space="0"/>
              <w:left w:val="nil"/>
              <w:bottom w:val="single" w:color="auto" w:sz="4" w:space="0"/>
              <w:right w:val="single" w:color="auto" w:sz="4" w:space="0"/>
            </w:tcBorders>
            <w:shd w:val="pct10" w:color="AEAAAA" w:themeColor="background2" w:themeShade="BF" w:fill="D0CECE" w:themeFill="background2" w:themeFillShade="E6"/>
          </w:tcPr>
          <w:p w14:paraId="06431109">
            <w:pPr>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所属</w:t>
            </w:r>
          </w:p>
          <w:p w14:paraId="215AADDA">
            <w:pPr>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行业</w:t>
            </w:r>
          </w:p>
        </w:tc>
      </w:tr>
      <w:tr w14:paraId="187B3984">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5A650178">
            <w:pPr>
              <w:jc w:val="center"/>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w:t>
            </w:r>
          </w:p>
        </w:tc>
        <w:tc>
          <w:tcPr>
            <w:tcW w:w="1198" w:type="dxa"/>
            <w:vMerge w:val="restart"/>
            <w:tcBorders>
              <w:top w:val="single" w:color="auto" w:sz="4" w:space="0"/>
              <w:left w:val="single" w:color="auto" w:sz="4" w:space="0"/>
              <w:right w:val="single" w:color="auto" w:sz="4" w:space="0"/>
            </w:tcBorders>
            <w:vAlign w:val="center"/>
          </w:tcPr>
          <w:p w14:paraId="1A4E58C9">
            <w:pP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医务管理系统</w:t>
            </w:r>
          </w:p>
        </w:tc>
        <w:tc>
          <w:tcPr>
            <w:tcW w:w="2269" w:type="dxa"/>
            <w:tcBorders>
              <w:top w:val="single" w:color="auto" w:sz="4" w:space="0"/>
              <w:left w:val="single" w:color="auto" w:sz="4" w:space="0"/>
              <w:bottom w:val="single" w:color="auto" w:sz="4" w:space="0"/>
              <w:right w:val="single" w:color="auto" w:sz="4" w:space="0"/>
            </w:tcBorders>
            <w:vAlign w:val="center"/>
          </w:tcPr>
          <w:p w14:paraId="4DF42A6B">
            <w:pPr>
              <w:jc w:val="left"/>
              <w:rPr>
                <w:rFonts w:hint="default" w:cs="仿宋_GB2312" w:asciiTheme="minorEastAsia" w:hAnsiTheme="minorEastAsia" w:eastAsiaTheme="minorEastAsia"/>
                <w:sz w:val="24"/>
                <w:szCs w:val="24"/>
                <w:lang w:val="en-US" w:eastAsia="zh-CN"/>
              </w:rPr>
            </w:pPr>
            <w:r>
              <w:rPr>
                <w:rFonts w:hint="eastAsia" w:ascii="宋体" w:hAnsi="宋体" w:cs="宋体"/>
                <w:color w:val="000000"/>
                <w:kern w:val="0"/>
                <w:szCs w:val="21"/>
              </w:rPr>
              <w:t>基础信息管理</w:t>
            </w:r>
          </w:p>
        </w:tc>
        <w:tc>
          <w:tcPr>
            <w:tcW w:w="1103" w:type="dxa"/>
            <w:tcBorders>
              <w:top w:val="single" w:color="auto" w:sz="4" w:space="0"/>
              <w:left w:val="single" w:color="auto" w:sz="4" w:space="0"/>
              <w:bottom w:val="single" w:color="auto" w:sz="4" w:space="0"/>
              <w:right w:val="single" w:color="auto" w:sz="4" w:space="0"/>
            </w:tcBorders>
            <w:vAlign w:val="center"/>
          </w:tcPr>
          <w:p w14:paraId="0C644971">
            <w:pPr>
              <w:jc w:val="center"/>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w:t>
            </w:r>
          </w:p>
        </w:tc>
        <w:tc>
          <w:tcPr>
            <w:tcW w:w="709" w:type="dxa"/>
            <w:tcBorders>
              <w:top w:val="single" w:color="auto" w:sz="4" w:space="0"/>
              <w:left w:val="single" w:color="auto" w:sz="4" w:space="0"/>
              <w:bottom w:val="single" w:color="auto" w:sz="4" w:space="0"/>
              <w:right w:val="single" w:color="auto" w:sz="4" w:space="0"/>
            </w:tcBorders>
            <w:vAlign w:val="center"/>
          </w:tcPr>
          <w:p w14:paraId="6D7D3A69">
            <w:pPr>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套</w:t>
            </w:r>
          </w:p>
        </w:tc>
        <w:tc>
          <w:tcPr>
            <w:tcW w:w="1007" w:type="dxa"/>
            <w:vMerge w:val="restart"/>
            <w:tcBorders>
              <w:top w:val="single" w:color="auto" w:sz="4" w:space="0"/>
              <w:left w:val="single" w:color="auto" w:sz="4" w:space="0"/>
              <w:right w:val="single" w:color="auto" w:sz="4" w:space="0"/>
            </w:tcBorders>
            <w:vAlign w:val="center"/>
          </w:tcPr>
          <w:p w14:paraId="49F304B8">
            <w:pPr>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服务</w:t>
            </w:r>
          </w:p>
        </w:tc>
        <w:tc>
          <w:tcPr>
            <w:tcW w:w="1638" w:type="dxa"/>
            <w:vMerge w:val="restart"/>
            <w:tcBorders>
              <w:top w:val="single" w:color="auto" w:sz="4" w:space="0"/>
              <w:left w:val="single" w:color="auto" w:sz="4" w:space="0"/>
              <w:right w:val="single" w:color="auto" w:sz="4" w:space="0"/>
            </w:tcBorders>
          </w:tcPr>
          <w:p w14:paraId="4B6BC0B8">
            <w:pPr>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lang w:val="en-US" w:eastAsia="zh-CN"/>
              </w:rPr>
              <w:t>软件和信息技术服务业</w:t>
            </w:r>
          </w:p>
        </w:tc>
      </w:tr>
      <w:tr w14:paraId="1BC0D7E1">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1E182CAA">
            <w:pPr>
              <w:jc w:val="cente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2</w:t>
            </w:r>
          </w:p>
        </w:tc>
        <w:tc>
          <w:tcPr>
            <w:tcW w:w="1198" w:type="dxa"/>
            <w:vMerge w:val="continue"/>
            <w:tcBorders>
              <w:left w:val="single" w:color="auto" w:sz="4" w:space="0"/>
              <w:right w:val="single" w:color="auto" w:sz="4" w:space="0"/>
            </w:tcBorders>
            <w:vAlign w:val="center"/>
          </w:tcPr>
          <w:p w14:paraId="2FD5AC6F">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0879E413">
            <w:pPr>
              <w:jc w:val="left"/>
              <w:rPr>
                <w:rFonts w:hint="eastAsia" w:cs="仿宋_GB2312" w:asciiTheme="minorEastAsia" w:hAnsiTheme="minorEastAsia" w:eastAsiaTheme="minorEastAsia"/>
                <w:sz w:val="24"/>
                <w:szCs w:val="24"/>
              </w:rPr>
            </w:pPr>
            <w:r>
              <w:rPr>
                <w:rFonts w:hint="eastAsia" w:ascii="宋体" w:hAnsi="宋体" w:cs="宋体"/>
                <w:color w:val="000000"/>
                <w:kern w:val="0"/>
                <w:szCs w:val="21"/>
              </w:rPr>
              <w:t>智慧医务首页</w:t>
            </w:r>
          </w:p>
        </w:tc>
        <w:tc>
          <w:tcPr>
            <w:tcW w:w="1103" w:type="dxa"/>
            <w:tcBorders>
              <w:top w:val="single" w:color="auto" w:sz="4" w:space="0"/>
              <w:left w:val="single" w:color="auto" w:sz="4" w:space="0"/>
              <w:bottom w:val="single" w:color="auto" w:sz="4" w:space="0"/>
              <w:right w:val="single" w:color="auto" w:sz="4" w:space="0"/>
            </w:tcBorders>
            <w:vAlign w:val="center"/>
          </w:tcPr>
          <w:p w14:paraId="6364908F">
            <w:pPr>
              <w:jc w:val="cente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7DE5799B">
            <w:pP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套</w:t>
            </w:r>
          </w:p>
        </w:tc>
        <w:tc>
          <w:tcPr>
            <w:tcW w:w="1007" w:type="dxa"/>
            <w:vMerge w:val="continue"/>
            <w:tcBorders>
              <w:left w:val="single" w:color="auto" w:sz="4" w:space="0"/>
              <w:right w:val="single" w:color="auto" w:sz="4" w:space="0"/>
            </w:tcBorders>
            <w:vAlign w:val="center"/>
          </w:tcPr>
          <w:p w14:paraId="1FD4F83A">
            <w:pPr>
              <w:rPr>
                <w:rFonts w:hint="eastAsia" w:cs="仿宋_GB2312" w:asciiTheme="minorEastAsia" w:hAnsiTheme="minorEastAsia" w:eastAsiaTheme="minorEastAsia"/>
                <w:sz w:val="24"/>
                <w:szCs w:val="24"/>
              </w:rPr>
            </w:pPr>
          </w:p>
        </w:tc>
        <w:tc>
          <w:tcPr>
            <w:tcW w:w="1638" w:type="dxa"/>
            <w:vMerge w:val="continue"/>
            <w:tcBorders>
              <w:left w:val="single" w:color="auto" w:sz="4" w:space="0"/>
              <w:right w:val="single" w:color="auto" w:sz="4" w:space="0"/>
            </w:tcBorders>
          </w:tcPr>
          <w:p w14:paraId="78280E41">
            <w:pPr>
              <w:rPr>
                <w:rFonts w:hint="eastAsia" w:cs="仿宋_GB2312" w:asciiTheme="minorEastAsia" w:hAnsiTheme="minorEastAsia" w:eastAsiaTheme="minorEastAsia"/>
                <w:sz w:val="24"/>
                <w:szCs w:val="24"/>
              </w:rPr>
            </w:pPr>
          </w:p>
        </w:tc>
      </w:tr>
      <w:tr w14:paraId="0077A56F">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4FAF59E2">
            <w:pPr>
              <w:jc w:val="cente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3</w:t>
            </w:r>
          </w:p>
        </w:tc>
        <w:tc>
          <w:tcPr>
            <w:tcW w:w="1198" w:type="dxa"/>
            <w:vMerge w:val="continue"/>
            <w:tcBorders>
              <w:left w:val="single" w:color="auto" w:sz="4" w:space="0"/>
              <w:right w:val="single" w:color="auto" w:sz="4" w:space="0"/>
            </w:tcBorders>
            <w:vAlign w:val="center"/>
          </w:tcPr>
          <w:p w14:paraId="73994368">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0C2F9D1C">
            <w:pPr>
              <w:jc w:val="left"/>
              <w:rPr>
                <w:rFonts w:hint="default" w:cs="仿宋_GB2312" w:asciiTheme="minorEastAsia" w:hAnsiTheme="minorEastAsia" w:eastAsiaTheme="minorEastAsia"/>
                <w:sz w:val="24"/>
                <w:szCs w:val="24"/>
                <w:lang w:val="en-US" w:eastAsia="zh-CN"/>
              </w:rPr>
            </w:pPr>
            <w:r>
              <w:rPr>
                <w:rFonts w:hint="eastAsia" w:ascii="宋体" w:hAnsi="宋体" w:cs="宋体"/>
                <w:color w:val="000000"/>
                <w:kern w:val="0"/>
                <w:szCs w:val="21"/>
              </w:rPr>
              <w:t>人员技术档案管理</w:t>
            </w:r>
          </w:p>
        </w:tc>
        <w:tc>
          <w:tcPr>
            <w:tcW w:w="1103" w:type="dxa"/>
            <w:tcBorders>
              <w:top w:val="single" w:color="auto" w:sz="4" w:space="0"/>
              <w:left w:val="single" w:color="auto" w:sz="4" w:space="0"/>
              <w:bottom w:val="single" w:color="auto" w:sz="4" w:space="0"/>
              <w:right w:val="single" w:color="auto" w:sz="4" w:space="0"/>
            </w:tcBorders>
            <w:vAlign w:val="center"/>
          </w:tcPr>
          <w:p w14:paraId="18465083">
            <w:pPr>
              <w:jc w:val="cente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3115946D">
            <w:pP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套</w:t>
            </w:r>
          </w:p>
        </w:tc>
        <w:tc>
          <w:tcPr>
            <w:tcW w:w="1007" w:type="dxa"/>
            <w:vMerge w:val="continue"/>
            <w:tcBorders>
              <w:left w:val="single" w:color="auto" w:sz="4" w:space="0"/>
              <w:right w:val="single" w:color="auto" w:sz="4" w:space="0"/>
            </w:tcBorders>
            <w:vAlign w:val="center"/>
          </w:tcPr>
          <w:p w14:paraId="1FD3F0CC">
            <w:pPr>
              <w:rPr>
                <w:rFonts w:hint="eastAsia" w:cs="仿宋_GB2312" w:asciiTheme="minorEastAsia" w:hAnsiTheme="minorEastAsia" w:eastAsiaTheme="minorEastAsia"/>
                <w:sz w:val="24"/>
                <w:szCs w:val="24"/>
              </w:rPr>
            </w:pPr>
          </w:p>
        </w:tc>
        <w:tc>
          <w:tcPr>
            <w:tcW w:w="1638" w:type="dxa"/>
            <w:vMerge w:val="continue"/>
            <w:tcBorders>
              <w:left w:val="single" w:color="auto" w:sz="4" w:space="0"/>
              <w:right w:val="single" w:color="auto" w:sz="4" w:space="0"/>
            </w:tcBorders>
          </w:tcPr>
          <w:p w14:paraId="27A88772">
            <w:pPr>
              <w:rPr>
                <w:rFonts w:hint="eastAsia" w:cs="仿宋_GB2312" w:asciiTheme="minorEastAsia" w:hAnsiTheme="minorEastAsia" w:eastAsiaTheme="minorEastAsia"/>
                <w:sz w:val="24"/>
                <w:szCs w:val="24"/>
              </w:rPr>
            </w:pPr>
          </w:p>
        </w:tc>
      </w:tr>
      <w:tr w14:paraId="52889D4A">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45DEE1B4">
            <w:pPr>
              <w:jc w:val="cente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4</w:t>
            </w:r>
          </w:p>
        </w:tc>
        <w:tc>
          <w:tcPr>
            <w:tcW w:w="1198" w:type="dxa"/>
            <w:vMerge w:val="continue"/>
            <w:tcBorders>
              <w:left w:val="single" w:color="auto" w:sz="4" w:space="0"/>
              <w:right w:val="single" w:color="auto" w:sz="4" w:space="0"/>
            </w:tcBorders>
            <w:vAlign w:val="center"/>
          </w:tcPr>
          <w:p w14:paraId="4D747F13">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0DEDFD81">
            <w:pPr>
              <w:jc w:val="left"/>
              <w:rPr>
                <w:rFonts w:hint="eastAsia" w:cs="仿宋_GB2312" w:asciiTheme="minorEastAsia" w:hAnsiTheme="minorEastAsia" w:eastAsiaTheme="minorEastAsia"/>
                <w:sz w:val="24"/>
                <w:szCs w:val="24"/>
                <w:lang w:val="en-US" w:eastAsia="zh-CN"/>
              </w:rPr>
            </w:pPr>
            <w:r>
              <w:rPr>
                <w:rFonts w:hint="eastAsia" w:ascii="宋体" w:hAnsi="宋体" w:cs="宋体"/>
                <w:color w:val="000000"/>
                <w:kern w:val="0"/>
                <w:szCs w:val="21"/>
                <w:lang w:val="en-US" w:eastAsia="zh-CN"/>
              </w:rPr>
              <w:t>人员管理</w:t>
            </w:r>
          </w:p>
        </w:tc>
        <w:tc>
          <w:tcPr>
            <w:tcW w:w="1103" w:type="dxa"/>
            <w:tcBorders>
              <w:top w:val="single" w:color="auto" w:sz="4" w:space="0"/>
              <w:left w:val="single" w:color="auto" w:sz="4" w:space="0"/>
              <w:bottom w:val="single" w:color="auto" w:sz="4" w:space="0"/>
              <w:right w:val="single" w:color="auto" w:sz="4" w:space="0"/>
            </w:tcBorders>
            <w:vAlign w:val="center"/>
          </w:tcPr>
          <w:p w14:paraId="10A89B96">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05D48E35">
            <w:pP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rPr>
              <w:t>套</w:t>
            </w:r>
          </w:p>
        </w:tc>
        <w:tc>
          <w:tcPr>
            <w:tcW w:w="1007" w:type="dxa"/>
            <w:vMerge w:val="continue"/>
            <w:tcBorders>
              <w:left w:val="single" w:color="auto" w:sz="4" w:space="0"/>
              <w:right w:val="single" w:color="auto" w:sz="4" w:space="0"/>
            </w:tcBorders>
            <w:vAlign w:val="center"/>
          </w:tcPr>
          <w:p w14:paraId="3596DD03">
            <w:pPr>
              <w:rPr>
                <w:rFonts w:hint="eastAsia" w:cs="仿宋_GB2312" w:asciiTheme="minorEastAsia" w:hAnsiTheme="minorEastAsia" w:eastAsiaTheme="minorEastAsia"/>
                <w:sz w:val="24"/>
                <w:szCs w:val="24"/>
              </w:rPr>
            </w:pPr>
          </w:p>
        </w:tc>
        <w:tc>
          <w:tcPr>
            <w:tcW w:w="1638" w:type="dxa"/>
            <w:vMerge w:val="continue"/>
            <w:tcBorders>
              <w:left w:val="single" w:color="auto" w:sz="4" w:space="0"/>
              <w:right w:val="single" w:color="auto" w:sz="4" w:space="0"/>
            </w:tcBorders>
          </w:tcPr>
          <w:p w14:paraId="15F70D41">
            <w:pPr>
              <w:rPr>
                <w:rFonts w:hint="eastAsia" w:cs="仿宋_GB2312" w:asciiTheme="minorEastAsia" w:hAnsiTheme="minorEastAsia" w:eastAsiaTheme="minorEastAsia"/>
                <w:sz w:val="24"/>
                <w:szCs w:val="24"/>
              </w:rPr>
            </w:pPr>
          </w:p>
        </w:tc>
      </w:tr>
      <w:tr w14:paraId="16C6EE1F">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678904AF">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5</w:t>
            </w:r>
          </w:p>
        </w:tc>
        <w:tc>
          <w:tcPr>
            <w:tcW w:w="1198" w:type="dxa"/>
            <w:vMerge w:val="continue"/>
            <w:tcBorders>
              <w:left w:val="single" w:color="auto" w:sz="4" w:space="0"/>
              <w:right w:val="single" w:color="auto" w:sz="4" w:space="0"/>
            </w:tcBorders>
            <w:vAlign w:val="center"/>
          </w:tcPr>
          <w:p w14:paraId="2690008A">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7B734BC5">
            <w:pPr>
              <w:jc w:val="left"/>
              <w:rPr>
                <w:rFonts w:hint="eastAsia" w:ascii="宋体" w:hAnsi="宋体" w:cs="宋体"/>
                <w:color w:val="000000"/>
                <w:kern w:val="0"/>
                <w:szCs w:val="21"/>
                <w:lang w:val="en-US" w:eastAsia="zh-CN"/>
              </w:rPr>
            </w:pPr>
            <w:r>
              <w:rPr>
                <w:rFonts w:hint="eastAsia" w:ascii="宋体" w:hAnsi="宋体" w:cs="宋体"/>
                <w:color w:val="000000"/>
                <w:kern w:val="0"/>
                <w:szCs w:val="21"/>
              </w:rPr>
              <w:t>医疗权限管理</w:t>
            </w:r>
          </w:p>
        </w:tc>
        <w:tc>
          <w:tcPr>
            <w:tcW w:w="1103" w:type="dxa"/>
            <w:tcBorders>
              <w:top w:val="single" w:color="auto" w:sz="4" w:space="0"/>
              <w:left w:val="single" w:color="auto" w:sz="4" w:space="0"/>
              <w:bottom w:val="single" w:color="auto" w:sz="4" w:space="0"/>
              <w:right w:val="single" w:color="auto" w:sz="4" w:space="0"/>
            </w:tcBorders>
            <w:vAlign w:val="center"/>
          </w:tcPr>
          <w:p w14:paraId="3A359576">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609184E6">
            <w:pP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rPr>
              <w:t>套</w:t>
            </w:r>
          </w:p>
        </w:tc>
        <w:tc>
          <w:tcPr>
            <w:tcW w:w="1007" w:type="dxa"/>
            <w:vMerge w:val="continue"/>
            <w:tcBorders>
              <w:left w:val="single" w:color="auto" w:sz="4" w:space="0"/>
              <w:right w:val="single" w:color="auto" w:sz="4" w:space="0"/>
            </w:tcBorders>
            <w:vAlign w:val="center"/>
          </w:tcPr>
          <w:p w14:paraId="2E1136B9">
            <w:pPr>
              <w:rPr>
                <w:rFonts w:hint="eastAsia" w:cs="仿宋_GB2312" w:asciiTheme="minorEastAsia" w:hAnsiTheme="minorEastAsia" w:eastAsiaTheme="minorEastAsia"/>
                <w:sz w:val="24"/>
                <w:szCs w:val="24"/>
              </w:rPr>
            </w:pPr>
          </w:p>
        </w:tc>
        <w:tc>
          <w:tcPr>
            <w:tcW w:w="1638" w:type="dxa"/>
            <w:vMerge w:val="continue"/>
            <w:tcBorders>
              <w:left w:val="single" w:color="auto" w:sz="4" w:space="0"/>
              <w:right w:val="single" w:color="auto" w:sz="4" w:space="0"/>
            </w:tcBorders>
          </w:tcPr>
          <w:p w14:paraId="3C604079">
            <w:pPr>
              <w:rPr>
                <w:rFonts w:hint="eastAsia" w:cs="仿宋_GB2312" w:asciiTheme="minorEastAsia" w:hAnsiTheme="minorEastAsia" w:eastAsiaTheme="minorEastAsia"/>
                <w:sz w:val="24"/>
                <w:szCs w:val="24"/>
              </w:rPr>
            </w:pPr>
          </w:p>
        </w:tc>
      </w:tr>
      <w:tr w14:paraId="6157FAEA">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1F941C1F">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6</w:t>
            </w:r>
          </w:p>
        </w:tc>
        <w:tc>
          <w:tcPr>
            <w:tcW w:w="1198" w:type="dxa"/>
            <w:vMerge w:val="continue"/>
            <w:tcBorders>
              <w:left w:val="single" w:color="auto" w:sz="4" w:space="0"/>
              <w:right w:val="single" w:color="auto" w:sz="4" w:space="0"/>
            </w:tcBorders>
            <w:vAlign w:val="center"/>
          </w:tcPr>
          <w:p w14:paraId="605CC816">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462EF9EA">
            <w:pPr>
              <w:jc w:val="left"/>
              <w:rPr>
                <w:rFonts w:hint="eastAsia" w:ascii="宋体" w:hAnsi="宋体" w:cs="宋体"/>
                <w:color w:val="000000"/>
                <w:kern w:val="0"/>
                <w:szCs w:val="21"/>
              </w:rPr>
            </w:pPr>
            <w:r>
              <w:rPr>
                <w:rFonts w:hint="eastAsia" w:ascii="宋体" w:hAnsi="宋体" w:cs="宋体"/>
                <w:color w:val="000000"/>
                <w:kern w:val="0"/>
                <w:szCs w:val="21"/>
              </w:rPr>
              <w:t>手术权限分级管理</w:t>
            </w:r>
          </w:p>
        </w:tc>
        <w:tc>
          <w:tcPr>
            <w:tcW w:w="1103" w:type="dxa"/>
            <w:tcBorders>
              <w:top w:val="single" w:color="auto" w:sz="4" w:space="0"/>
              <w:left w:val="single" w:color="auto" w:sz="4" w:space="0"/>
              <w:bottom w:val="single" w:color="auto" w:sz="4" w:space="0"/>
              <w:right w:val="single" w:color="auto" w:sz="4" w:space="0"/>
            </w:tcBorders>
            <w:vAlign w:val="center"/>
          </w:tcPr>
          <w:p w14:paraId="41A099D8">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1FE025C7">
            <w:pP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rPr>
              <w:t>套</w:t>
            </w:r>
          </w:p>
        </w:tc>
        <w:tc>
          <w:tcPr>
            <w:tcW w:w="1007" w:type="dxa"/>
            <w:vMerge w:val="continue"/>
            <w:tcBorders>
              <w:left w:val="single" w:color="auto" w:sz="4" w:space="0"/>
              <w:right w:val="single" w:color="auto" w:sz="4" w:space="0"/>
            </w:tcBorders>
            <w:vAlign w:val="center"/>
          </w:tcPr>
          <w:p w14:paraId="16E78767">
            <w:pPr>
              <w:rPr>
                <w:rFonts w:hint="eastAsia" w:cs="仿宋_GB2312" w:asciiTheme="minorEastAsia" w:hAnsiTheme="minorEastAsia" w:eastAsiaTheme="minorEastAsia"/>
                <w:sz w:val="24"/>
                <w:szCs w:val="24"/>
              </w:rPr>
            </w:pPr>
          </w:p>
        </w:tc>
        <w:tc>
          <w:tcPr>
            <w:tcW w:w="1638" w:type="dxa"/>
            <w:vMerge w:val="continue"/>
            <w:tcBorders>
              <w:left w:val="single" w:color="auto" w:sz="4" w:space="0"/>
              <w:right w:val="single" w:color="auto" w:sz="4" w:space="0"/>
            </w:tcBorders>
          </w:tcPr>
          <w:p w14:paraId="527241D4">
            <w:pPr>
              <w:rPr>
                <w:rFonts w:hint="eastAsia" w:cs="仿宋_GB2312" w:asciiTheme="minorEastAsia" w:hAnsiTheme="minorEastAsia" w:eastAsiaTheme="minorEastAsia"/>
                <w:sz w:val="24"/>
                <w:szCs w:val="24"/>
              </w:rPr>
            </w:pPr>
          </w:p>
        </w:tc>
      </w:tr>
      <w:tr w14:paraId="48B019FD">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53E73CEC">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7</w:t>
            </w:r>
          </w:p>
        </w:tc>
        <w:tc>
          <w:tcPr>
            <w:tcW w:w="1198" w:type="dxa"/>
            <w:vMerge w:val="continue"/>
            <w:tcBorders>
              <w:left w:val="single" w:color="auto" w:sz="4" w:space="0"/>
              <w:right w:val="single" w:color="auto" w:sz="4" w:space="0"/>
            </w:tcBorders>
            <w:vAlign w:val="center"/>
          </w:tcPr>
          <w:p w14:paraId="3A2EF82E">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2C29CCFA">
            <w:pPr>
              <w:tabs>
                <w:tab w:val="left" w:pos="565"/>
              </w:tabs>
              <w:jc w:val="left"/>
              <w:rPr>
                <w:rFonts w:hint="eastAsia" w:ascii="宋体" w:hAnsi="宋体" w:cs="宋体"/>
                <w:color w:val="000000"/>
                <w:kern w:val="0"/>
                <w:szCs w:val="21"/>
                <w:lang w:eastAsia="zh-CN"/>
              </w:rPr>
            </w:pPr>
            <w:r>
              <w:rPr>
                <w:rFonts w:hint="eastAsia" w:ascii="宋体" w:hAnsi="宋体" w:cs="宋体"/>
                <w:color w:val="000000"/>
                <w:kern w:val="0"/>
                <w:szCs w:val="21"/>
              </w:rPr>
              <w:t>医务督导管理</w:t>
            </w:r>
          </w:p>
        </w:tc>
        <w:tc>
          <w:tcPr>
            <w:tcW w:w="1103" w:type="dxa"/>
            <w:tcBorders>
              <w:top w:val="single" w:color="auto" w:sz="4" w:space="0"/>
              <w:left w:val="single" w:color="auto" w:sz="4" w:space="0"/>
              <w:bottom w:val="single" w:color="auto" w:sz="4" w:space="0"/>
              <w:right w:val="single" w:color="auto" w:sz="4" w:space="0"/>
            </w:tcBorders>
            <w:vAlign w:val="center"/>
          </w:tcPr>
          <w:p w14:paraId="0EFB7DA6">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51A9A45F">
            <w:pP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rPr>
              <w:t>套</w:t>
            </w:r>
          </w:p>
        </w:tc>
        <w:tc>
          <w:tcPr>
            <w:tcW w:w="1007" w:type="dxa"/>
            <w:vMerge w:val="continue"/>
            <w:tcBorders>
              <w:left w:val="single" w:color="auto" w:sz="4" w:space="0"/>
              <w:right w:val="single" w:color="auto" w:sz="4" w:space="0"/>
            </w:tcBorders>
            <w:vAlign w:val="center"/>
          </w:tcPr>
          <w:p w14:paraId="6882EDD6">
            <w:pPr>
              <w:rPr>
                <w:rFonts w:hint="eastAsia" w:cs="仿宋_GB2312" w:asciiTheme="minorEastAsia" w:hAnsiTheme="minorEastAsia" w:eastAsiaTheme="minorEastAsia"/>
                <w:sz w:val="24"/>
                <w:szCs w:val="24"/>
              </w:rPr>
            </w:pPr>
          </w:p>
        </w:tc>
        <w:tc>
          <w:tcPr>
            <w:tcW w:w="1638" w:type="dxa"/>
            <w:vMerge w:val="continue"/>
            <w:tcBorders>
              <w:left w:val="single" w:color="auto" w:sz="4" w:space="0"/>
              <w:right w:val="single" w:color="auto" w:sz="4" w:space="0"/>
            </w:tcBorders>
          </w:tcPr>
          <w:p w14:paraId="34F65B78">
            <w:pPr>
              <w:rPr>
                <w:rFonts w:hint="eastAsia" w:cs="仿宋_GB2312" w:asciiTheme="minorEastAsia" w:hAnsiTheme="minorEastAsia" w:eastAsiaTheme="minorEastAsia"/>
                <w:sz w:val="24"/>
                <w:szCs w:val="24"/>
              </w:rPr>
            </w:pPr>
          </w:p>
        </w:tc>
      </w:tr>
      <w:tr w14:paraId="3876CD15">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21E8E1B0">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8</w:t>
            </w:r>
          </w:p>
        </w:tc>
        <w:tc>
          <w:tcPr>
            <w:tcW w:w="1198" w:type="dxa"/>
            <w:vMerge w:val="continue"/>
            <w:tcBorders>
              <w:left w:val="single" w:color="auto" w:sz="4" w:space="0"/>
              <w:right w:val="single" w:color="auto" w:sz="4" w:space="0"/>
            </w:tcBorders>
            <w:vAlign w:val="center"/>
          </w:tcPr>
          <w:p w14:paraId="51C12E43">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3DCC7CED">
            <w:pPr>
              <w:tabs>
                <w:tab w:val="left" w:pos="565"/>
              </w:tabs>
              <w:jc w:val="left"/>
              <w:rPr>
                <w:rFonts w:hint="eastAsia" w:ascii="宋体" w:hAnsi="宋体" w:cs="宋体"/>
                <w:color w:val="000000"/>
                <w:kern w:val="0"/>
                <w:szCs w:val="21"/>
              </w:rPr>
            </w:pPr>
            <w:r>
              <w:rPr>
                <w:rFonts w:hint="eastAsia"/>
              </w:rPr>
              <w:t>临床医疗制度管理</w:t>
            </w:r>
          </w:p>
        </w:tc>
        <w:tc>
          <w:tcPr>
            <w:tcW w:w="1103" w:type="dxa"/>
            <w:tcBorders>
              <w:top w:val="single" w:color="auto" w:sz="4" w:space="0"/>
              <w:left w:val="single" w:color="auto" w:sz="4" w:space="0"/>
              <w:bottom w:val="single" w:color="auto" w:sz="4" w:space="0"/>
              <w:right w:val="single" w:color="auto" w:sz="4" w:space="0"/>
            </w:tcBorders>
            <w:vAlign w:val="center"/>
          </w:tcPr>
          <w:p w14:paraId="11C26BE9">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60491179">
            <w:pP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rPr>
              <w:t>套</w:t>
            </w:r>
          </w:p>
        </w:tc>
        <w:tc>
          <w:tcPr>
            <w:tcW w:w="1007" w:type="dxa"/>
            <w:vMerge w:val="continue"/>
            <w:tcBorders>
              <w:left w:val="single" w:color="auto" w:sz="4" w:space="0"/>
              <w:right w:val="single" w:color="auto" w:sz="4" w:space="0"/>
            </w:tcBorders>
            <w:vAlign w:val="center"/>
          </w:tcPr>
          <w:p w14:paraId="0CE7E43F">
            <w:pPr>
              <w:rPr>
                <w:rFonts w:hint="eastAsia" w:cs="仿宋_GB2312" w:asciiTheme="minorEastAsia" w:hAnsiTheme="minorEastAsia" w:eastAsiaTheme="minorEastAsia"/>
                <w:sz w:val="24"/>
                <w:szCs w:val="24"/>
              </w:rPr>
            </w:pPr>
          </w:p>
        </w:tc>
        <w:tc>
          <w:tcPr>
            <w:tcW w:w="1638" w:type="dxa"/>
            <w:vMerge w:val="continue"/>
            <w:tcBorders>
              <w:left w:val="single" w:color="auto" w:sz="4" w:space="0"/>
              <w:right w:val="single" w:color="auto" w:sz="4" w:space="0"/>
            </w:tcBorders>
          </w:tcPr>
          <w:p w14:paraId="150B63E7">
            <w:pPr>
              <w:rPr>
                <w:rFonts w:hint="eastAsia" w:cs="仿宋_GB2312" w:asciiTheme="minorEastAsia" w:hAnsiTheme="minorEastAsia" w:eastAsiaTheme="minorEastAsia"/>
                <w:sz w:val="24"/>
                <w:szCs w:val="24"/>
              </w:rPr>
            </w:pPr>
          </w:p>
        </w:tc>
      </w:tr>
      <w:tr w14:paraId="54328169">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4FDD2DC5">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9</w:t>
            </w:r>
          </w:p>
        </w:tc>
        <w:tc>
          <w:tcPr>
            <w:tcW w:w="1198" w:type="dxa"/>
            <w:vMerge w:val="continue"/>
            <w:tcBorders>
              <w:left w:val="single" w:color="auto" w:sz="4" w:space="0"/>
              <w:right w:val="single" w:color="auto" w:sz="4" w:space="0"/>
            </w:tcBorders>
            <w:vAlign w:val="center"/>
          </w:tcPr>
          <w:p w14:paraId="0053D374">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78C4B006">
            <w:pPr>
              <w:jc w:val="left"/>
              <w:rPr>
                <w:rFonts w:hint="eastAsia"/>
              </w:rPr>
            </w:pPr>
            <w:r>
              <w:rPr>
                <w:rFonts w:hint="eastAsia"/>
                <w:lang w:val="en-US" w:eastAsia="zh-CN"/>
              </w:rPr>
              <w:t>投诉与纠纷管理</w:t>
            </w:r>
          </w:p>
        </w:tc>
        <w:tc>
          <w:tcPr>
            <w:tcW w:w="1103" w:type="dxa"/>
            <w:tcBorders>
              <w:top w:val="single" w:color="auto" w:sz="4" w:space="0"/>
              <w:left w:val="single" w:color="auto" w:sz="4" w:space="0"/>
              <w:bottom w:val="single" w:color="auto" w:sz="4" w:space="0"/>
              <w:right w:val="single" w:color="auto" w:sz="4" w:space="0"/>
            </w:tcBorders>
            <w:vAlign w:val="center"/>
          </w:tcPr>
          <w:p w14:paraId="4E1A8C25">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0C8EA6B5">
            <w:pP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rPr>
              <w:t>套</w:t>
            </w:r>
          </w:p>
        </w:tc>
        <w:tc>
          <w:tcPr>
            <w:tcW w:w="1007" w:type="dxa"/>
            <w:vMerge w:val="continue"/>
            <w:tcBorders>
              <w:left w:val="single" w:color="auto" w:sz="4" w:space="0"/>
              <w:right w:val="single" w:color="auto" w:sz="4" w:space="0"/>
            </w:tcBorders>
            <w:vAlign w:val="center"/>
          </w:tcPr>
          <w:p w14:paraId="082B0492">
            <w:pPr>
              <w:rPr>
                <w:rFonts w:hint="eastAsia" w:cs="仿宋_GB2312" w:asciiTheme="minorEastAsia" w:hAnsiTheme="minorEastAsia" w:eastAsiaTheme="minorEastAsia"/>
                <w:sz w:val="24"/>
                <w:szCs w:val="24"/>
              </w:rPr>
            </w:pPr>
          </w:p>
        </w:tc>
        <w:tc>
          <w:tcPr>
            <w:tcW w:w="1638" w:type="dxa"/>
            <w:vMerge w:val="continue"/>
            <w:tcBorders>
              <w:left w:val="single" w:color="auto" w:sz="4" w:space="0"/>
              <w:right w:val="single" w:color="auto" w:sz="4" w:space="0"/>
            </w:tcBorders>
          </w:tcPr>
          <w:p w14:paraId="616EC0B0">
            <w:pPr>
              <w:rPr>
                <w:rFonts w:hint="eastAsia" w:cs="仿宋_GB2312" w:asciiTheme="minorEastAsia" w:hAnsiTheme="minorEastAsia" w:eastAsiaTheme="minorEastAsia"/>
                <w:sz w:val="24"/>
                <w:szCs w:val="24"/>
              </w:rPr>
            </w:pPr>
          </w:p>
        </w:tc>
      </w:tr>
      <w:tr w14:paraId="49C1BC81">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nil"/>
              <w:right w:val="single" w:color="auto" w:sz="4" w:space="0"/>
            </w:tcBorders>
            <w:vAlign w:val="center"/>
          </w:tcPr>
          <w:p w14:paraId="5361EBAC">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10</w:t>
            </w:r>
          </w:p>
        </w:tc>
        <w:tc>
          <w:tcPr>
            <w:tcW w:w="1198" w:type="dxa"/>
            <w:vMerge w:val="continue"/>
            <w:tcBorders>
              <w:left w:val="single" w:color="auto" w:sz="4" w:space="0"/>
              <w:right w:val="single" w:color="auto" w:sz="4" w:space="0"/>
            </w:tcBorders>
            <w:vAlign w:val="center"/>
          </w:tcPr>
          <w:p w14:paraId="5F094836">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3D08E576">
            <w:pPr>
              <w:jc w:val="left"/>
              <w:rPr>
                <w:rFonts w:hint="eastAsia"/>
                <w:lang w:val="en-US" w:eastAsia="zh-CN"/>
              </w:rPr>
            </w:pPr>
            <w:r>
              <w:rPr>
                <w:rFonts w:hint="eastAsia" w:ascii="宋体" w:hAnsi="宋体" w:cs="宋体"/>
                <w:color w:val="000000"/>
                <w:kern w:val="0"/>
                <w:szCs w:val="21"/>
              </w:rPr>
              <w:t>医务</w:t>
            </w:r>
            <w:r>
              <w:rPr>
                <w:rFonts w:hint="eastAsia" w:ascii="宋体" w:hAnsi="宋体" w:cs="宋体"/>
                <w:color w:val="000000"/>
                <w:kern w:val="0"/>
                <w:szCs w:val="21"/>
                <w:lang w:val="en-US" w:eastAsia="zh-CN"/>
              </w:rPr>
              <w:t>绩效</w:t>
            </w:r>
            <w:r>
              <w:rPr>
                <w:rFonts w:hint="eastAsia" w:ascii="宋体" w:hAnsi="宋体" w:cs="宋体"/>
                <w:color w:val="000000"/>
                <w:kern w:val="0"/>
                <w:szCs w:val="21"/>
              </w:rPr>
              <w:t>指标</w:t>
            </w:r>
            <w:r>
              <w:rPr>
                <w:rFonts w:hint="eastAsia" w:ascii="宋体" w:hAnsi="宋体" w:cs="宋体"/>
                <w:color w:val="000000"/>
                <w:kern w:val="0"/>
                <w:szCs w:val="21"/>
                <w:lang w:val="en-US" w:eastAsia="zh-CN"/>
              </w:rPr>
              <w:t>管理</w:t>
            </w:r>
          </w:p>
        </w:tc>
        <w:tc>
          <w:tcPr>
            <w:tcW w:w="1103" w:type="dxa"/>
            <w:tcBorders>
              <w:top w:val="single" w:color="auto" w:sz="4" w:space="0"/>
              <w:left w:val="single" w:color="auto" w:sz="4" w:space="0"/>
              <w:bottom w:val="single" w:color="auto" w:sz="4" w:space="0"/>
              <w:right w:val="single" w:color="auto" w:sz="4" w:space="0"/>
            </w:tcBorders>
            <w:vAlign w:val="center"/>
          </w:tcPr>
          <w:p w14:paraId="4F1DB610">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27177901">
            <w:pP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rPr>
              <w:t>套</w:t>
            </w:r>
          </w:p>
        </w:tc>
        <w:tc>
          <w:tcPr>
            <w:tcW w:w="1007" w:type="dxa"/>
            <w:vMerge w:val="continue"/>
            <w:tcBorders>
              <w:left w:val="single" w:color="auto" w:sz="4" w:space="0"/>
              <w:right w:val="single" w:color="auto" w:sz="4" w:space="0"/>
            </w:tcBorders>
            <w:vAlign w:val="center"/>
          </w:tcPr>
          <w:p w14:paraId="51ADFDA3">
            <w:pPr>
              <w:rPr>
                <w:rFonts w:hint="eastAsia" w:cs="仿宋_GB2312" w:asciiTheme="minorEastAsia" w:hAnsiTheme="minorEastAsia" w:eastAsiaTheme="minorEastAsia"/>
                <w:sz w:val="24"/>
                <w:szCs w:val="24"/>
              </w:rPr>
            </w:pPr>
          </w:p>
        </w:tc>
        <w:tc>
          <w:tcPr>
            <w:tcW w:w="1638" w:type="dxa"/>
            <w:vMerge w:val="continue"/>
            <w:tcBorders>
              <w:left w:val="single" w:color="auto" w:sz="4" w:space="0"/>
              <w:right w:val="single" w:color="auto" w:sz="4" w:space="0"/>
            </w:tcBorders>
          </w:tcPr>
          <w:p w14:paraId="4958D83E">
            <w:pPr>
              <w:rPr>
                <w:rFonts w:hint="eastAsia" w:cs="仿宋_GB2312" w:asciiTheme="minorEastAsia" w:hAnsiTheme="minorEastAsia" w:eastAsiaTheme="minorEastAsia"/>
                <w:sz w:val="24"/>
                <w:szCs w:val="24"/>
              </w:rPr>
            </w:pPr>
          </w:p>
        </w:tc>
      </w:tr>
      <w:tr w14:paraId="15047B3F">
        <w:tblPrEx>
          <w:tblCellMar>
            <w:top w:w="0" w:type="dxa"/>
            <w:left w:w="108" w:type="dxa"/>
            <w:bottom w:w="0" w:type="dxa"/>
            <w:right w:w="108" w:type="dxa"/>
          </w:tblCellMar>
        </w:tblPrEx>
        <w:trPr>
          <w:trHeight w:val="494" w:hRule="atLeast"/>
          <w:jc w:val="center"/>
        </w:trPr>
        <w:tc>
          <w:tcPr>
            <w:tcW w:w="837" w:type="dxa"/>
            <w:tcBorders>
              <w:top w:val="nil"/>
              <w:left w:val="single" w:color="auto" w:sz="4" w:space="0"/>
              <w:bottom w:val="single" w:color="auto" w:sz="4" w:space="0"/>
              <w:right w:val="single" w:color="auto" w:sz="4" w:space="0"/>
            </w:tcBorders>
            <w:vAlign w:val="center"/>
          </w:tcPr>
          <w:p w14:paraId="70669792">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11</w:t>
            </w:r>
          </w:p>
        </w:tc>
        <w:tc>
          <w:tcPr>
            <w:tcW w:w="1198" w:type="dxa"/>
            <w:vMerge w:val="continue"/>
            <w:tcBorders>
              <w:left w:val="single" w:color="auto" w:sz="4" w:space="0"/>
              <w:bottom w:val="single" w:color="auto" w:sz="4" w:space="0"/>
              <w:right w:val="single" w:color="auto" w:sz="4" w:space="0"/>
            </w:tcBorders>
            <w:vAlign w:val="center"/>
          </w:tcPr>
          <w:p w14:paraId="78F82951">
            <w:pPr>
              <w:rPr>
                <w:rFonts w:hint="eastAsia" w:asciiTheme="minorEastAsia" w:hAnsiTheme="minorEastAsia" w:eastAsia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vAlign w:val="center"/>
          </w:tcPr>
          <w:p w14:paraId="6E2E8A9E">
            <w:pPr>
              <w:jc w:val="left"/>
              <w:rPr>
                <w:rFonts w:hint="eastAsia" w:ascii="宋体" w:hAnsi="宋体" w:cs="宋体"/>
                <w:color w:val="000000"/>
                <w:kern w:val="0"/>
                <w:szCs w:val="21"/>
              </w:rPr>
            </w:pPr>
            <w:r>
              <w:rPr>
                <w:rFonts w:hint="eastAsia" w:ascii="宋体" w:hAnsi="宋体" w:cs="宋体"/>
                <w:color w:val="000000"/>
                <w:kern w:val="0"/>
                <w:szCs w:val="21"/>
                <w:lang w:val="en-US" w:eastAsia="zh-CN"/>
              </w:rPr>
              <w:t>集成</w:t>
            </w:r>
            <w:r>
              <w:rPr>
                <w:rFonts w:hint="eastAsia" w:ascii="宋体" w:hAnsi="宋体" w:cs="宋体"/>
                <w:color w:val="000000"/>
                <w:kern w:val="0"/>
                <w:szCs w:val="21"/>
              </w:rPr>
              <w:t>管理</w:t>
            </w:r>
          </w:p>
        </w:tc>
        <w:tc>
          <w:tcPr>
            <w:tcW w:w="1103" w:type="dxa"/>
            <w:tcBorders>
              <w:top w:val="single" w:color="auto" w:sz="4" w:space="0"/>
              <w:left w:val="single" w:color="auto" w:sz="4" w:space="0"/>
              <w:bottom w:val="single" w:color="auto" w:sz="4" w:space="0"/>
              <w:right w:val="single" w:color="auto" w:sz="4" w:space="0"/>
            </w:tcBorders>
            <w:vAlign w:val="center"/>
          </w:tcPr>
          <w:p w14:paraId="192AEDF4">
            <w:pPr>
              <w:jc w:val="center"/>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lang w:val="en-US" w:eastAsia="zh-CN"/>
              </w:rPr>
              <w:t>1</w:t>
            </w:r>
          </w:p>
        </w:tc>
        <w:tc>
          <w:tcPr>
            <w:tcW w:w="709" w:type="dxa"/>
            <w:tcBorders>
              <w:top w:val="single" w:color="auto" w:sz="4" w:space="0"/>
              <w:left w:val="single" w:color="auto" w:sz="4" w:space="0"/>
              <w:bottom w:val="single" w:color="auto" w:sz="4" w:space="0"/>
              <w:right w:val="single" w:color="auto" w:sz="4" w:space="0"/>
            </w:tcBorders>
            <w:vAlign w:val="center"/>
          </w:tcPr>
          <w:p w14:paraId="29768628">
            <w:pPr>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eastAsiaTheme="minorEastAsia"/>
                <w:sz w:val="24"/>
                <w:szCs w:val="24"/>
              </w:rPr>
              <w:t>套</w:t>
            </w:r>
          </w:p>
        </w:tc>
        <w:tc>
          <w:tcPr>
            <w:tcW w:w="1007" w:type="dxa"/>
            <w:vMerge w:val="continue"/>
            <w:tcBorders>
              <w:left w:val="single" w:color="auto" w:sz="4" w:space="0"/>
              <w:bottom w:val="single" w:color="auto" w:sz="4" w:space="0"/>
              <w:right w:val="single" w:color="auto" w:sz="4" w:space="0"/>
            </w:tcBorders>
            <w:vAlign w:val="center"/>
          </w:tcPr>
          <w:p w14:paraId="42B88F77">
            <w:pPr>
              <w:rPr>
                <w:rFonts w:hint="eastAsia" w:cs="仿宋_GB2312" w:asciiTheme="minorEastAsia" w:hAnsiTheme="minorEastAsia" w:eastAsiaTheme="minorEastAsia"/>
                <w:sz w:val="24"/>
                <w:szCs w:val="24"/>
              </w:rPr>
            </w:pPr>
          </w:p>
        </w:tc>
        <w:tc>
          <w:tcPr>
            <w:tcW w:w="1638" w:type="dxa"/>
            <w:vMerge w:val="continue"/>
            <w:tcBorders>
              <w:left w:val="single" w:color="auto" w:sz="4" w:space="0"/>
              <w:bottom w:val="single" w:color="auto" w:sz="4" w:space="0"/>
              <w:right w:val="single" w:color="auto" w:sz="4" w:space="0"/>
            </w:tcBorders>
          </w:tcPr>
          <w:p w14:paraId="4DE3D68C">
            <w:pPr>
              <w:rPr>
                <w:rFonts w:hint="eastAsia" w:cs="仿宋_GB2312" w:asciiTheme="minorEastAsia" w:hAnsiTheme="minorEastAsia" w:eastAsiaTheme="minorEastAsia"/>
                <w:sz w:val="24"/>
                <w:szCs w:val="24"/>
              </w:rPr>
            </w:pPr>
          </w:p>
        </w:tc>
      </w:tr>
    </w:tbl>
    <w:p w14:paraId="51D3582B">
      <w:pPr>
        <w:bidi w:val="0"/>
        <w:rPr>
          <w:sz w:val="24"/>
          <w:szCs w:val="24"/>
        </w:rPr>
      </w:pPr>
    </w:p>
    <w:p w14:paraId="4A5E5EE6">
      <w:pPr>
        <w:bidi w:val="0"/>
        <w:rPr>
          <w:sz w:val="24"/>
          <w:szCs w:val="24"/>
        </w:rPr>
      </w:pPr>
      <w:r>
        <w:rPr>
          <w:sz w:val="24"/>
          <w:szCs w:val="24"/>
        </w:rPr>
        <w:br w:type="page"/>
      </w:r>
    </w:p>
    <w:p w14:paraId="02621295">
      <w:pPr>
        <w:pStyle w:val="2"/>
        <w:bidi w:val="0"/>
        <w:rPr>
          <w:sz w:val="24"/>
          <w:szCs w:val="24"/>
        </w:rPr>
      </w:pPr>
      <w:r>
        <w:rPr>
          <w:sz w:val="24"/>
          <w:szCs w:val="24"/>
        </w:rPr>
        <w:t>产品规格、材质及技术参数要求</w:t>
      </w:r>
    </w:p>
    <w:tbl>
      <w:tblPr>
        <w:tblStyle w:val="17"/>
        <w:tblW w:w="89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22"/>
        <w:gridCol w:w="1327"/>
        <w:gridCol w:w="6845"/>
      </w:tblGrid>
      <w:tr w14:paraId="128AD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6" w:hRule="atLeast"/>
          <w:jc w:val="center"/>
        </w:trPr>
        <w:tc>
          <w:tcPr>
            <w:tcW w:w="822" w:type="dxa"/>
            <w:tcBorders>
              <w:top w:val="single" w:color="000000" w:sz="6" w:space="0"/>
              <w:left w:val="single" w:color="000000" w:sz="6" w:space="0"/>
              <w:bottom w:val="single" w:color="000000" w:sz="6" w:space="0"/>
              <w:right w:val="single" w:color="000000" w:sz="6" w:space="0"/>
            </w:tcBorders>
            <w:shd w:val="clear" w:color="auto" w:fill="BEBEBE"/>
            <w:tcMar>
              <w:top w:w="0" w:type="dxa"/>
              <w:left w:w="72" w:type="dxa"/>
              <w:bottom w:w="0" w:type="dxa"/>
              <w:right w:w="72" w:type="dxa"/>
            </w:tcMar>
            <w:vAlign w:val="center"/>
          </w:tcPr>
          <w:p w14:paraId="17855311">
            <w:pPr>
              <w:pStyle w:val="16"/>
              <w:keepNext w:val="0"/>
              <w:keepLines w:val="0"/>
              <w:widowControl/>
              <w:suppressLineNumbers w:val="0"/>
              <w:spacing w:before="31" w:beforeAutospacing="0" w:after="31" w:afterAutospacing="0" w:line="13" w:lineRule="atLeast"/>
              <w:ind w:left="0" w:right="0"/>
              <w:jc w:val="center"/>
            </w:pPr>
            <w:r>
              <w:rPr>
                <w:rFonts w:hint="eastAsia" w:ascii="宋体" w:hAnsi="宋体" w:eastAsia="宋体" w:cs="宋体"/>
                <w:b/>
                <w:bCs/>
                <w:i w:val="0"/>
                <w:iCs w:val="0"/>
                <w:color w:val="000000"/>
                <w:spacing w:val="0"/>
                <w:w w:val="100"/>
                <w:sz w:val="24"/>
                <w:szCs w:val="24"/>
                <w:vertAlign w:val="baseline"/>
              </w:rPr>
              <w:t>序号</w:t>
            </w:r>
          </w:p>
        </w:tc>
        <w:tc>
          <w:tcPr>
            <w:tcW w:w="1327" w:type="dxa"/>
            <w:tcBorders>
              <w:top w:val="single" w:color="000000" w:sz="6" w:space="0"/>
              <w:left w:val="single" w:color="000000" w:sz="6" w:space="0"/>
              <w:bottom w:val="single" w:color="000000" w:sz="6" w:space="0"/>
              <w:right w:val="single" w:color="000000" w:sz="6" w:space="0"/>
            </w:tcBorders>
            <w:shd w:val="clear" w:color="auto" w:fill="BEBEBE"/>
            <w:tcMar>
              <w:top w:w="0" w:type="dxa"/>
              <w:left w:w="72" w:type="dxa"/>
              <w:bottom w:w="0" w:type="dxa"/>
              <w:right w:w="72" w:type="dxa"/>
            </w:tcMar>
            <w:vAlign w:val="center"/>
          </w:tcPr>
          <w:p w14:paraId="490DC62A">
            <w:pPr>
              <w:pStyle w:val="16"/>
              <w:keepNext w:val="0"/>
              <w:keepLines w:val="0"/>
              <w:widowControl/>
              <w:suppressLineNumbers w:val="0"/>
              <w:spacing w:before="31" w:beforeAutospacing="0" w:after="31" w:afterAutospacing="0" w:line="13" w:lineRule="atLeast"/>
              <w:ind w:left="0" w:right="0"/>
              <w:jc w:val="center"/>
            </w:pPr>
            <w:r>
              <w:rPr>
                <w:rFonts w:hint="eastAsia" w:ascii="宋体" w:hAnsi="宋体" w:eastAsia="宋体" w:cs="宋体"/>
                <w:b/>
                <w:bCs/>
                <w:i w:val="0"/>
                <w:iCs w:val="0"/>
                <w:color w:val="000000"/>
                <w:spacing w:val="0"/>
                <w:w w:val="100"/>
                <w:sz w:val="24"/>
                <w:szCs w:val="24"/>
                <w:vertAlign w:val="baseline"/>
              </w:rPr>
              <w:t>模块</w:t>
            </w:r>
          </w:p>
        </w:tc>
        <w:tc>
          <w:tcPr>
            <w:tcW w:w="6845" w:type="dxa"/>
            <w:tcBorders>
              <w:top w:val="single" w:color="000000" w:sz="6" w:space="0"/>
              <w:left w:val="single" w:color="000000" w:sz="6" w:space="0"/>
              <w:bottom w:val="single" w:color="000000" w:sz="6" w:space="0"/>
              <w:right w:val="single" w:color="000000" w:sz="6" w:space="0"/>
            </w:tcBorders>
            <w:shd w:val="clear" w:color="auto" w:fill="BEBEBE"/>
            <w:tcMar>
              <w:top w:w="0" w:type="dxa"/>
              <w:left w:w="72" w:type="dxa"/>
              <w:bottom w:w="0" w:type="dxa"/>
              <w:right w:w="72" w:type="dxa"/>
            </w:tcMar>
            <w:vAlign w:val="center"/>
          </w:tcPr>
          <w:p w14:paraId="46A56A34">
            <w:pPr>
              <w:pStyle w:val="16"/>
              <w:keepNext w:val="0"/>
              <w:keepLines w:val="0"/>
              <w:widowControl/>
              <w:suppressLineNumbers w:val="0"/>
              <w:spacing w:before="31" w:beforeAutospacing="0" w:after="31" w:afterAutospacing="0" w:line="13" w:lineRule="atLeast"/>
              <w:ind w:left="0" w:right="0"/>
              <w:jc w:val="center"/>
            </w:pPr>
            <w:r>
              <w:rPr>
                <w:rFonts w:hint="eastAsia" w:ascii="宋体" w:hAnsi="宋体" w:eastAsia="宋体" w:cs="宋体"/>
                <w:b/>
                <w:bCs/>
                <w:i w:val="0"/>
                <w:iCs w:val="0"/>
                <w:color w:val="000000"/>
                <w:spacing w:val="0"/>
                <w:w w:val="100"/>
                <w:sz w:val="24"/>
                <w:szCs w:val="24"/>
                <w:vertAlign w:val="baseline"/>
              </w:rPr>
              <w:t>功能要求</w:t>
            </w:r>
          </w:p>
        </w:tc>
      </w:tr>
      <w:tr w14:paraId="041B3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A44853F">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1.</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2599BDE">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shd w:val="clear" w:fill="FFFFFF"/>
                <w:vertAlign w:val="baseline"/>
              </w:rPr>
              <w:t>基础信息管理</w:t>
            </w:r>
          </w:p>
          <w:p w14:paraId="5672D47D">
            <w:pPr>
              <w:pStyle w:val="16"/>
              <w:keepNext w:val="0"/>
              <w:keepLines w:val="0"/>
              <w:widowControl/>
              <w:suppressLineNumbers w:val="0"/>
              <w:spacing w:before="62" w:beforeAutospacing="0" w:after="62" w:afterAutospacing="0" w:line="13" w:lineRule="atLeast"/>
              <w:ind w:left="0" w:right="0"/>
              <w:jc w:val="both"/>
            </w:pPr>
            <w:r>
              <w:rPr>
                <w:b w:val="0"/>
                <w:bCs w:val="0"/>
                <w:i w:val="0"/>
                <w:iCs w:val="0"/>
                <w:color w:val="333333"/>
                <w:spacing w:val="0"/>
                <w:w w:val="100"/>
                <w:sz w:val="22"/>
                <w:szCs w:val="22"/>
                <w:shd w:val="clear" w:fill="FFFFFF"/>
                <w:vertAlign w:val="baseline"/>
                <w:lang w:val="en-US"/>
              </w:rPr>
              <w:t> </w:t>
            </w: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87ECEF7">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shd w:val="clear" w:fill="FFFFFF"/>
                <w:vertAlign w:val="baseline"/>
              </w:rPr>
              <w:t>支持自动同步医院医疗机构基本信息、组织结构、科室、病区、床位数量等基础字典信息功能。</w:t>
            </w:r>
          </w:p>
        </w:tc>
      </w:tr>
      <w:tr w14:paraId="7D485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FF89A33">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2.</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DAA8E11">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169C7AD">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shd w:val="clear" w:fill="FFFFFF"/>
                <w:vertAlign w:val="baseline"/>
              </w:rPr>
              <w:t>▲支持提供医疗学科标准化字典，并提供系统工具支持与医院科室信息进行对照。</w:t>
            </w:r>
          </w:p>
        </w:tc>
      </w:tr>
      <w:tr w14:paraId="070C8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A291B0B">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3.</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322AB55">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4174D2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shd w:val="clear" w:fill="FFFFFF"/>
                <w:vertAlign w:val="baseline"/>
              </w:rPr>
              <w:t>▲支持医院科室诊疗组的创建和组员的维护功能，支持维护诊疗组组长、组员等角色。</w:t>
            </w:r>
          </w:p>
        </w:tc>
      </w:tr>
      <w:tr w14:paraId="57CFB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56C8E39">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4.</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84F4ACF">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5B2EA36">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shd w:val="clear" w:fill="FFFFFF"/>
                <w:vertAlign w:val="baseline"/>
              </w:rPr>
              <w:t>支持自动同步医院机构用户基本信息、职称信息、职务信息、权限信息等字典信息功能。</w:t>
            </w:r>
          </w:p>
        </w:tc>
      </w:tr>
      <w:tr w14:paraId="63F1C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065FD25">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5.</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83BC21F">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19D03C5">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shd w:val="clear" w:fill="FFFFFF"/>
                <w:vertAlign w:val="baseline"/>
              </w:rPr>
              <w:t>支持自动同步医院药品字典及收费项目字典信息。</w:t>
            </w:r>
          </w:p>
        </w:tc>
      </w:tr>
      <w:tr w14:paraId="51544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08B77DC">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6.</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7468693">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4D3EE87">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shd w:val="clear" w:fill="FFFFFF"/>
                <w:vertAlign w:val="baseline"/>
              </w:rPr>
              <w:t>提供自动同步ICD诊断、手术字典信息</w:t>
            </w:r>
          </w:p>
        </w:tc>
      </w:tr>
      <w:tr w14:paraId="5D1CE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FC10F31">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7.</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A7EE522">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0CD4F2D">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shd w:val="clear" w:fill="FFFFFF"/>
                <w:vertAlign w:val="baseline"/>
              </w:rPr>
              <w:t>提供自动同步医院患者门诊、住院就诊的相关信息。</w:t>
            </w:r>
          </w:p>
        </w:tc>
      </w:tr>
      <w:tr w14:paraId="6D123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99F253A">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8.</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62B05B5">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智慧医务首页</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0BC0CB5">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▲支持医务首页的核心医疗管理指标展示，能够以醒目标题展示医务管理核心指标数据，如药占比、DDDS、平均住院日、床位使用率、三级手术占比、三日归档率等，指标支持按照医院要求指定。</w:t>
            </w:r>
          </w:p>
        </w:tc>
      </w:tr>
      <w:tr w14:paraId="6368A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62FC9D1">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9.</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B084564">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14CEEF5">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▲支持医务首页的医院综合信息的集中展示，包括医院的名称、级别、类别、重点专科数量、编制床位数量等。</w:t>
            </w:r>
          </w:p>
        </w:tc>
      </w:tr>
      <w:tr w14:paraId="358DA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BA84510">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10.</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5D05AB2">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1F681D9">
            <w:pPr>
              <w:pStyle w:val="16"/>
              <w:keepNext w:val="0"/>
              <w:keepLines w:val="0"/>
              <w:widowControl/>
              <w:suppressLineNumbers w:val="0"/>
              <w:spacing w:before="0" w:beforeAutospacing="0" w:after="0" w:afterAutospacing="0"/>
              <w:ind w:left="0" w:right="0"/>
              <w:jc w:val="left"/>
              <w:rPr>
                <w:rFonts w:hint="eastAsia" w:eastAsia="宋体"/>
                <w:lang w:eastAsia="zh-CN"/>
              </w:rPr>
            </w:pPr>
            <w:r>
              <w:rPr>
                <w:rFonts w:hint="eastAsia" w:ascii="宋体" w:hAnsi="宋体" w:eastAsia="宋体" w:cs="宋体"/>
                <w:b w:val="0"/>
                <w:bCs w:val="0"/>
                <w:i w:val="0"/>
                <w:iCs w:val="0"/>
                <w:color w:val="000000"/>
                <w:spacing w:val="0"/>
                <w:w w:val="100"/>
                <w:sz w:val="21"/>
                <w:szCs w:val="21"/>
                <w:vertAlign w:val="baseline"/>
              </w:rPr>
              <w:t>▲医院运营日报展示，自动展示医院前一日的运营管理数据，如门诊人次、入院人次、出院人次、手术人次、死亡人次、转科人次、危重人数、门诊住院收入等。支持实时监控当天运营指标</w:t>
            </w:r>
            <w:r>
              <w:rPr>
                <w:rFonts w:hint="eastAsia" w:ascii="宋体" w:hAnsi="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展示明细数据</w:t>
            </w:r>
            <w:r>
              <w:rPr>
                <w:rFonts w:hint="eastAsia" w:ascii="宋体" w:hAnsi="宋体" w:cs="宋体"/>
                <w:b w:val="0"/>
                <w:bCs w:val="0"/>
                <w:i w:val="0"/>
                <w:iCs w:val="0"/>
                <w:color w:val="000000"/>
                <w:spacing w:val="0"/>
                <w:w w:val="100"/>
                <w:sz w:val="21"/>
                <w:szCs w:val="21"/>
                <w:vertAlign w:val="baseline"/>
                <w:lang w:eastAsia="zh-CN"/>
              </w:rPr>
              <w:t>。</w:t>
            </w:r>
          </w:p>
        </w:tc>
      </w:tr>
      <w:tr w14:paraId="55BF0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B7EB820">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11.</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884C92D">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36D4CDF">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支持待办工作索引，能够接收各类医务管理工作的消息，支持通过点击待办列表消息跳转业务操作界面。</w:t>
            </w:r>
          </w:p>
        </w:tc>
      </w:tr>
      <w:tr w14:paraId="3ACB4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69"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9934E39">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12.</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6DEEBCC">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人员技术档案管理</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7F3D669">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基本信息从人事系统的对接导入，包括用户的工号、姓名、性别、生日、电话、身份证号码、教育信息，职称信息、进修信息等，支持基本信息实时同步HIS、医院信息平台、HRP等院内系统数据源，支持上传用户照片。</w:t>
            </w:r>
          </w:p>
        </w:tc>
      </w:tr>
      <w:tr w14:paraId="21756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470EC01">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13.</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86D531C">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FE191A4">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▲支持医务人员院内职业信息从第三方系统的对接导入、包括用户的职务、职称、所属科室、病区、医师资格证编号、医师国家编码等，支持上传用户证书PDF或者图片。</w:t>
            </w:r>
          </w:p>
        </w:tc>
      </w:tr>
      <w:tr w14:paraId="5D97B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45FC581">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14.</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26B6051">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94A7C89">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支持医务人员职称履历信息的展示与维护</w:t>
            </w:r>
          </w:p>
        </w:tc>
      </w:tr>
      <w:tr w14:paraId="761B4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7CC8428">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15.</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26302E4">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C3104F5">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支持医务人员职业资格证书的展示与维护</w:t>
            </w:r>
          </w:p>
        </w:tc>
      </w:tr>
      <w:tr w14:paraId="1DE11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BCD64AF">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16.</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47B1268">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A7C655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支持医务人员院内轮岗信息的展示与维护</w:t>
            </w:r>
          </w:p>
        </w:tc>
      </w:tr>
      <w:tr w14:paraId="73151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30F3050">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17.</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94DE37E">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36A5B84">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支持医务人员职业工作经历的展示与维护</w:t>
            </w:r>
          </w:p>
        </w:tc>
      </w:tr>
      <w:tr w14:paraId="2AF4B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1145CCD">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18.</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5906298">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A9BEC56">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支持医务人员专业学会任职情况的展示与维护</w:t>
            </w:r>
          </w:p>
        </w:tc>
      </w:tr>
      <w:tr w14:paraId="0DEEA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3370525">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19.</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79E6467">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0DCAFDF">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支持医务人员学习与进修情况的展示与维护</w:t>
            </w:r>
          </w:p>
        </w:tc>
      </w:tr>
      <w:tr w14:paraId="34A13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93C3E7F">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20.</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C85E7C8">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C1CDF0C">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支持医务人员的专业培训情况的展示与维护</w:t>
            </w:r>
          </w:p>
        </w:tc>
      </w:tr>
      <w:tr w14:paraId="5B214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76AE7DD">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21.</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C601783">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4F6E150">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支持医务人员发表的论文著作信息的展示与维护</w:t>
            </w:r>
          </w:p>
        </w:tc>
      </w:tr>
      <w:tr w14:paraId="0633C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60FD78C">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22.</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23EF209">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28ADE35">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支持医务人员科研项目情况的展示与维护</w:t>
            </w:r>
          </w:p>
        </w:tc>
      </w:tr>
      <w:tr w14:paraId="4A7D6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B7ADECD">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23.</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E9E3550">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57DB440">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支持医务人员安全行为记录信息的展示与维护</w:t>
            </w:r>
          </w:p>
        </w:tc>
      </w:tr>
      <w:tr w14:paraId="525B9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D3F013E">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24.</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7617646">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2DB6743">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支持医务人员院内奖惩记录的展示与维护</w:t>
            </w:r>
          </w:p>
        </w:tc>
      </w:tr>
      <w:tr w14:paraId="0D958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6B8F627">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25.</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3990A2A">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1067183">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支持医务科对医务人员信息档案内容的审核及维护</w:t>
            </w:r>
          </w:p>
        </w:tc>
      </w:tr>
      <w:tr w14:paraId="7D7B1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0557C04">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26.</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01B24B3">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ABD84D3">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▲支持以全生命周期的履历轴显示用户的关键事件，包括事件类型、事件内容、事件日期等。</w:t>
            </w:r>
          </w:p>
        </w:tc>
      </w:tr>
      <w:tr w14:paraId="427ED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3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5A0080C">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27.</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4EBDFBA">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2B49B9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支持用户技术档案信息从第三方系统</w:t>
            </w:r>
            <w:r>
              <w:rPr>
                <w:rFonts w:hint="eastAsia" w:ascii="宋体" w:hAnsi="宋体" w:cs="宋体"/>
                <w:b w:val="0"/>
                <w:bCs w:val="0"/>
                <w:i w:val="0"/>
                <w:iCs w:val="0"/>
                <w:color w:val="000000"/>
                <w:spacing w:val="0"/>
                <w:w w:val="100"/>
                <w:sz w:val="21"/>
                <w:szCs w:val="21"/>
                <w:vertAlign w:val="baseline"/>
                <w:lang w:val="en-US" w:eastAsia="zh-CN"/>
              </w:rPr>
              <w:t>如人事、科研等</w:t>
            </w:r>
            <w:r>
              <w:rPr>
                <w:rFonts w:hint="eastAsia" w:ascii="宋体" w:hAnsi="宋体" w:eastAsia="宋体" w:cs="宋体"/>
                <w:b w:val="0"/>
                <w:bCs w:val="0"/>
                <w:i w:val="0"/>
                <w:iCs w:val="0"/>
                <w:color w:val="000000"/>
                <w:spacing w:val="0"/>
                <w:w w:val="100"/>
                <w:sz w:val="21"/>
                <w:szCs w:val="21"/>
                <w:vertAlign w:val="baseline"/>
              </w:rPr>
              <w:t>的同步实时更新</w:t>
            </w:r>
            <w:r>
              <w:rPr>
                <w:rFonts w:hint="eastAsia" w:ascii="宋体" w:hAnsi="宋体" w:cs="宋体"/>
                <w:b w:val="0"/>
                <w:bCs w:val="0"/>
                <w:i w:val="0"/>
                <w:iCs w:val="0"/>
                <w:color w:val="000000"/>
                <w:spacing w:val="0"/>
                <w:w w:val="100"/>
                <w:sz w:val="21"/>
                <w:szCs w:val="21"/>
                <w:vertAlign w:val="baseline"/>
                <w:lang w:eastAsia="zh-CN"/>
              </w:rPr>
              <w:t>。</w:t>
            </w:r>
          </w:p>
        </w:tc>
      </w:tr>
      <w:tr w14:paraId="48574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4A1999E">
            <w:pPr>
              <w:pStyle w:val="16"/>
              <w:keepNext w:val="0"/>
              <w:keepLines w:val="0"/>
              <w:widowControl/>
              <w:suppressLineNumbers w:val="0"/>
              <w:spacing w:before="62" w:beforeAutospacing="0" w:after="62" w:afterAutospacing="0" w:line="13" w:lineRule="atLeast"/>
              <w:ind w:left="420" w:right="0" w:hanging="420"/>
              <w:jc w:val="both"/>
              <w:rPr>
                <w:b w:val="0"/>
                <w:bCs w:val="0"/>
                <w:i w:val="0"/>
                <w:iCs w:val="0"/>
                <w:color w:val="auto"/>
                <w:spacing w:val="0"/>
                <w:w w:val="100"/>
                <w:sz w:val="24"/>
                <w:szCs w:val="24"/>
                <w:highlight w:val="none"/>
                <w:vertAlign w:val="baseline"/>
              </w:rPr>
            </w:pPr>
            <w:r>
              <w:rPr>
                <w:b w:val="0"/>
                <w:bCs w:val="0"/>
                <w:i w:val="0"/>
                <w:iCs w:val="0"/>
                <w:color w:val="auto"/>
                <w:spacing w:val="0"/>
                <w:w w:val="100"/>
                <w:sz w:val="24"/>
                <w:szCs w:val="24"/>
                <w:highlight w:val="none"/>
                <w:vertAlign w:val="baseline"/>
              </w:rPr>
              <w:t>28.</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7C868E6">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1E02B7B">
            <w:pPr>
              <w:pStyle w:val="16"/>
              <w:keepNext w:val="0"/>
              <w:keepLines w:val="0"/>
              <w:widowControl/>
              <w:suppressLineNumbers w:val="0"/>
              <w:spacing w:before="0" w:beforeAutospacing="0" w:after="0" w:afterAutospacing="0"/>
              <w:ind w:left="0" w:leftChars="0" w:right="0" w:rightChars="0"/>
              <w:jc w:val="left"/>
              <w:rPr>
                <w:rFonts w:hint="eastAsia" w:asciiTheme="minorHAnsi" w:hAnsiTheme="minorHAnsi" w:eastAsiaTheme="minorEastAsia" w:cstheme="minorBidi"/>
                <w:kern w:val="2"/>
                <w:sz w:val="24"/>
                <w:szCs w:val="24"/>
                <w:lang w:val="en-US" w:eastAsia="zh-CN" w:bidi="ar-SA"/>
              </w:rPr>
            </w:pPr>
            <w:r>
              <w:rPr>
                <w:rFonts w:hint="eastAsia" w:ascii="宋体" w:hAnsi="宋体" w:eastAsia="宋体" w:cs="宋体"/>
                <w:b w:val="0"/>
                <w:bCs w:val="0"/>
                <w:i w:val="0"/>
                <w:iCs w:val="0"/>
                <w:color w:val="000000"/>
                <w:spacing w:val="0"/>
                <w:w w:val="100"/>
                <w:sz w:val="21"/>
                <w:szCs w:val="21"/>
                <w:vertAlign w:val="baseline"/>
              </w:rPr>
              <w:t>▲支持医务人力资源统计分析，包括全院人力资源大屏拓扑图展示、医师职称分析、医师年资分析等。支持多维度的院内排名、专业排名、科内排名。</w:t>
            </w:r>
          </w:p>
        </w:tc>
      </w:tr>
      <w:tr w14:paraId="0C393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F367BAB">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B96C2B6">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0C2421D">
            <w:pPr>
              <w:pStyle w:val="16"/>
              <w:keepNext w:val="0"/>
              <w:keepLines w:val="0"/>
              <w:widowControl/>
              <w:suppressLineNumbers w:val="0"/>
              <w:spacing w:before="0" w:beforeAutospacing="0" w:after="0" w:afterAutospacing="0"/>
              <w:ind w:left="0" w:leftChars="0" w:right="0" w:rightChars="0"/>
              <w:jc w:val="left"/>
            </w:pPr>
            <w:r>
              <w:rPr>
                <w:rFonts w:hint="eastAsia" w:ascii="宋体" w:hAnsi="宋体" w:eastAsia="宋体" w:cs="宋体"/>
                <w:b w:val="0"/>
                <w:bCs w:val="0"/>
                <w:i w:val="0"/>
                <w:iCs w:val="0"/>
                <w:color w:val="000000"/>
                <w:spacing w:val="0"/>
                <w:w w:val="100"/>
                <w:sz w:val="21"/>
                <w:szCs w:val="21"/>
                <w:vertAlign w:val="baseline"/>
              </w:rPr>
              <w:t>支持档案借阅，查看其他医务人员的技术档案可进行档案借阅申请，审核通过后可查看被借阅人的技术档案。</w:t>
            </w:r>
          </w:p>
        </w:tc>
      </w:tr>
      <w:tr w14:paraId="2FDDC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22E681F">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29.</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17F978F">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人员管理</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4DA9293">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支持提供人员转科、职称调整、外出进修、外出学习、外出手术等事项的申请及审批流程。支持医务科审核后按生效日期实时推送HIS、EMR等系统，并同步更新档案信息。</w:t>
            </w:r>
          </w:p>
        </w:tc>
      </w:tr>
      <w:tr w14:paraId="0C089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DAE5D7A">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30.</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090CC43">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514523C">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支持人员的科室轮转信息从第三方系统系统自动同步，并更新档案。</w:t>
            </w:r>
          </w:p>
        </w:tc>
      </w:tr>
      <w:tr w14:paraId="7BBFA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2E1DF2B">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31.</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3522439">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D6DA377">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支持人员的离职申请和审批管理，离职后档案封存。</w:t>
            </w:r>
          </w:p>
        </w:tc>
      </w:tr>
      <w:tr w14:paraId="65D03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AF40794">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32.</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FF4B98D">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80DB723">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支持人员管理的业务统计分析报表。</w:t>
            </w:r>
          </w:p>
        </w:tc>
      </w:tr>
      <w:tr w14:paraId="71C4A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BBD38B6">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33.</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0272D7B">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医疗权限管理</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4B4AB0F">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支持对用户医疗处方权限的自定义和权限维护功能。</w:t>
            </w:r>
          </w:p>
        </w:tc>
      </w:tr>
      <w:tr w14:paraId="26C18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C9A9B64">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34.</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133DFBB">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36088F8">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支持对医务人员的西药处方权限进行维护和展示</w:t>
            </w:r>
          </w:p>
        </w:tc>
      </w:tr>
      <w:tr w14:paraId="027AA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F1F30FC">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35.</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44FE0FF">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B7727B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支持对医务人员的中草药药处方权限进行维护和展示</w:t>
            </w:r>
          </w:p>
        </w:tc>
      </w:tr>
      <w:tr w14:paraId="2FAEF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3C2F271">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36.</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DB377BB">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4904E8E">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支持对医务人员的毒麻精处方权限进行维护和展示</w:t>
            </w:r>
          </w:p>
        </w:tc>
      </w:tr>
      <w:tr w14:paraId="50934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8AB7585">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37.</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E7EF7E7">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B562685">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支持对医务人员的抗菌药物权限进行分级维护和展示</w:t>
            </w:r>
          </w:p>
        </w:tc>
      </w:tr>
      <w:tr w14:paraId="3DA38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B8FF538">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38.</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4D372C0">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EDB51E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▲支持对医务人员的抗肿瘤药物权限进行分级维护和展示</w:t>
            </w:r>
          </w:p>
        </w:tc>
      </w:tr>
      <w:tr w14:paraId="70090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1710BB0">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39.</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A1AC0F7">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A963368">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支持对医务人员其他医务科所需管理权限进行维护和展示</w:t>
            </w:r>
          </w:p>
        </w:tc>
      </w:tr>
      <w:tr w14:paraId="3FF68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1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D207313">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40.</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A01374D">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138DAF7">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支持医务人员权限的在线审核和医务科审批，审批后权限自动联动第三方系统如HIS系统、EMR系统、手麻系统等。</w:t>
            </w:r>
          </w:p>
        </w:tc>
      </w:tr>
      <w:tr w14:paraId="1BB4E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F0F5DCA">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41.</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60C4720">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手术权限分级管理</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298CE1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▲支持通过同步或者手动维护标准化手术分级字典，包括必要的手术名称、手术编码、手术级别等。</w:t>
            </w:r>
          </w:p>
        </w:tc>
      </w:tr>
      <w:tr w14:paraId="11DEE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F4FFDC8">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42.</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38920CF">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CF449BA">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支持医务人员个人手术目录库建立，手术目录库信息来自于手术权限审批。</w:t>
            </w:r>
          </w:p>
        </w:tc>
      </w:tr>
      <w:tr w14:paraId="150F4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1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F768C63">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43.</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DBB660A">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C343F2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▲支持医务人员个人手术目录库信息自动关联年度手术量、手术患者转归、手术切口愈合等级等信息并归档至医师档案中。</w:t>
            </w:r>
          </w:p>
        </w:tc>
      </w:tr>
      <w:tr w14:paraId="310E6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4546A3D">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44.</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929F3C3">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DE2D383">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支持维护手术与技术委员会成员信息。</w:t>
            </w:r>
          </w:p>
        </w:tc>
      </w:tr>
      <w:tr w14:paraId="74900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6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7BA9FCE">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45.</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24CEB22">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EE9DC55">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支持医生从标准化手术字典中选择可选的项目，并提交科主任审批手术权限。</w:t>
            </w:r>
          </w:p>
        </w:tc>
      </w:tr>
      <w:tr w14:paraId="6DB1C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CB1EB4F">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46.</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0F818E6">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F0A26FD">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系统支持科主任审批本科室医生提交的手术权限申请，并转发至医务处进行下一级审批。</w:t>
            </w:r>
          </w:p>
        </w:tc>
      </w:tr>
      <w:tr w14:paraId="56130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78"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960904B">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47.</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77E000B">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8F52951">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系统支持医务科接收各科室提交的手术权限进行审批。审批完成后申请医生的手术权限生效。重大手术、限制性技术的权限申请需经管理委员会审批后生效。</w:t>
            </w:r>
          </w:p>
          <w:p w14:paraId="4D531E85">
            <w:pPr>
              <w:pStyle w:val="16"/>
              <w:keepNext w:val="0"/>
              <w:keepLines w:val="0"/>
              <w:widowControl/>
              <w:suppressLineNumbers w:val="0"/>
              <w:spacing w:before="0" w:beforeAutospacing="0" w:after="0" w:afterAutospacing="0"/>
              <w:ind w:left="0" w:right="0"/>
              <w:jc w:val="left"/>
              <w:rPr>
                <w:rFonts w:hint="eastAsia" w:eastAsia="宋体"/>
                <w:lang w:eastAsia="zh-CN"/>
              </w:rPr>
            </w:pPr>
            <w:r>
              <w:rPr>
                <w:rFonts w:hint="eastAsia" w:ascii="宋体" w:hAnsi="宋体" w:eastAsia="宋体" w:cs="宋体"/>
                <w:b w:val="0"/>
                <w:bCs w:val="0"/>
                <w:i w:val="0"/>
                <w:iCs w:val="0"/>
                <w:color w:val="000000"/>
                <w:spacing w:val="0"/>
                <w:w w:val="100"/>
                <w:sz w:val="21"/>
                <w:szCs w:val="21"/>
                <w:vertAlign w:val="baseline"/>
              </w:rPr>
              <w:t>支持委员会成员多人会签审批，需满足特定投票条件（如全员通过或一票否决）才能通过</w:t>
            </w:r>
            <w:r>
              <w:rPr>
                <w:rFonts w:hint="eastAsia" w:ascii="宋体" w:hAnsi="宋体" w:eastAsia="宋体" w:cs="宋体"/>
                <w:b w:val="0"/>
                <w:bCs w:val="0"/>
                <w:i w:val="0"/>
                <w:iCs w:val="0"/>
                <w:color w:val="000000"/>
                <w:spacing w:val="0"/>
                <w:w w:val="100"/>
                <w:sz w:val="21"/>
                <w:szCs w:val="21"/>
                <w:vertAlign w:val="baseline"/>
                <w:lang w:eastAsia="zh-CN"/>
              </w:rPr>
              <w:t>。</w:t>
            </w:r>
          </w:p>
        </w:tc>
      </w:tr>
      <w:tr w14:paraId="18B6C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0"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94A3706">
            <w:pPr>
              <w:pStyle w:val="16"/>
              <w:keepNext w:val="0"/>
              <w:keepLines w:val="0"/>
              <w:widowControl/>
              <w:suppressLineNumbers w:val="0"/>
              <w:spacing w:before="62" w:beforeAutospacing="0" w:after="62" w:afterAutospacing="0" w:line="13" w:lineRule="atLeast"/>
              <w:ind w:left="420" w:right="0" w:hanging="420"/>
              <w:jc w:val="both"/>
              <w:rPr>
                <w:b w:val="0"/>
                <w:bCs w:val="0"/>
                <w:i w:val="0"/>
                <w:iCs w:val="0"/>
                <w:color w:val="auto"/>
                <w:spacing w:val="0"/>
                <w:w w:val="100"/>
                <w:sz w:val="24"/>
                <w:szCs w:val="24"/>
                <w:highlight w:val="none"/>
                <w:vertAlign w:val="baseline"/>
              </w:rPr>
            </w:pP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062B7F8">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47A53F6">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FF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系统支持手术资质再授权，展示手术医师已有资质、能力评价指标，审核人员无需切换页面即可参考评价指标进行审核。</w:t>
            </w:r>
          </w:p>
        </w:tc>
      </w:tr>
      <w:tr w14:paraId="197E1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0945554">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48.</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EA17039">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6953828">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系统支持医务处或管理委员会实时查询在院各位医师的手术权限情况和每月手术执行情况，能够根据手术执行例数和手术转归进行统计，管理人员可以按照执行情况选择暂时停止医师某一项手术的开立权限。</w:t>
            </w:r>
          </w:p>
        </w:tc>
      </w:tr>
      <w:tr w14:paraId="32C4D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6782244">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49.</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500C53C">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05AB0B0">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▲系统支持自动生成手术权限申请审批表，按照手术审批流程自动完成医务科、管理委员会的审批签字盖章。</w:t>
            </w:r>
          </w:p>
        </w:tc>
      </w:tr>
      <w:tr w14:paraId="2AAD0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3DF6286">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50.</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A91A317">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48B5DFE">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系统支持每年自动或手动结转手术权限，并留痕保存历史审批管理台账。</w:t>
            </w:r>
          </w:p>
        </w:tc>
      </w:tr>
      <w:tr w14:paraId="6F06D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E3DC43B">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51.</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CD8791A">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84C29B9">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提供HIS系统手术权限读取接口，在书写手术申请时，选择手术者后自动加载已授权的手术字典。</w:t>
            </w:r>
          </w:p>
        </w:tc>
      </w:tr>
      <w:tr w14:paraId="75A74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C26C898">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52.</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259D8A6">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EC5BAAD">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越级手术的行政审批流程，非预期性二次手术的审批流程；提供移动端小程序查阅二次手术的患者信息，包括本次和历次手术名称、手术者、手术时间、部位等，支持展示资质越权事件，包括越权人、越权原因、处理方式等相关信息。</w:t>
            </w:r>
          </w:p>
        </w:tc>
      </w:tr>
      <w:tr w14:paraId="73121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1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1CB8BAE">
            <w:pPr>
              <w:pStyle w:val="16"/>
              <w:keepNext w:val="0"/>
              <w:keepLines w:val="0"/>
              <w:widowControl/>
              <w:suppressLineNumbers w:val="0"/>
              <w:spacing w:before="62" w:beforeAutospacing="0" w:after="62" w:afterAutospacing="0" w:line="13" w:lineRule="atLeast"/>
              <w:ind w:left="420" w:right="0" w:hanging="420"/>
              <w:jc w:val="both"/>
              <w:rPr>
                <w:rFonts w:hint="default" w:eastAsia="宋体"/>
                <w:color w:val="auto"/>
                <w:highlight w:val="none"/>
                <w:lang w:val="en-US" w:eastAsia="zh-CN"/>
              </w:rPr>
            </w:pPr>
            <w:r>
              <w:rPr>
                <w:color w:val="auto"/>
                <w:highlight w:val="none"/>
                <w:lang w:val="en-US"/>
              </w:rPr>
              <w:t> </w:t>
            </w:r>
            <w:r>
              <w:rPr>
                <w:rFonts w:hint="eastAsia"/>
                <w:color w:val="auto"/>
                <w:highlight w:val="none"/>
                <w:lang w:val="en-US" w:eastAsia="zh-CN"/>
              </w:rPr>
              <w:t>53</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1E8A6D9">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医务督导管理</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9D71498">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▲支持全院质量考评体系下的考评指标集中维护与分类管理，可按体系标准、指标类型、状态等条件进行检索与筛选，便于统一管理和调用。</w:t>
            </w:r>
          </w:p>
        </w:tc>
      </w:tr>
      <w:tr w14:paraId="66D51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FC79C0E">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6ED6DF5">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1E7758F">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支持根据医疗质量管理体系配置院级、职能科室、临床科室及专业考评小组，实现全院多层级质量考评组织结构的标准化管理，支持生成医疗质量管理委员会下属多级考评小组架构图。</w:t>
            </w:r>
          </w:p>
        </w:tc>
      </w:tr>
      <w:tr w14:paraId="4CB36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D7E0254">
            <w:pPr>
              <w:pStyle w:val="16"/>
              <w:keepNext w:val="0"/>
              <w:keepLines w:val="0"/>
              <w:widowControl/>
              <w:suppressLineNumbers w:val="0"/>
              <w:spacing w:before="62" w:beforeAutospacing="0" w:after="62" w:afterAutospacing="0" w:line="13" w:lineRule="atLeast"/>
              <w:ind w:left="420" w:right="0" w:hanging="420"/>
              <w:jc w:val="both"/>
              <w:rPr>
                <w:rFonts w:hint="default" w:eastAsia="宋体"/>
                <w:color w:val="auto"/>
                <w:highlight w:val="none"/>
                <w:lang w:val="en-US" w:eastAsia="zh-CN"/>
              </w:rPr>
            </w:pPr>
            <w:r>
              <w:rPr>
                <w:color w:val="auto"/>
                <w:highlight w:val="none"/>
              </w:rPr>
              <w:t>5</w:t>
            </w:r>
            <w:r>
              <w:rPr>
                <w:rFonts w:hint="eastAsia"/>
                <w:color w:val="auto"/>
                <w:highlight w:val="none"/>
                <w:lang w:val="en-US" w:eastAsia="zh-CN"/>
              </w:rPr>
              <w:t>4.</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873F634">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E7E5859">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▲支持医院各类医疗督导查房表单信息的维护功能，能够在各类督导方案中维护督导标题内容和具体的督导指标内容，支持督导指标内容维护对应的扣分项目、扣分分值。</w:t>
            </w:r>
          </w:p>
        </w:tc>
      </w:tr>
      <w:tr w14:paraId="74B4D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10BC153">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60.</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88585CE">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F11D154">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▲支持医务科手工和定期发布医务督导任务，包括填写督导任务标题，选择对应的督导表单，督导的日期，负责督导的质控专家组成员，督导的目标科室等信息。</w:t>
            </w:r>
          </w:p>
        </w:tc>
      </w:tr>
      <w:tr w14:paraId="7AD56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0"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57757FB">
            <w:pPr>
              <w:pStyle w:val="16"/>
              <w:keepNext w:val="0"/>
              <w:keepLines w:val="0"/>
              <w:widowControl/>
              <w:suppressLineNumbers w:val="0"/>
              <w:spacing w:before="62" w:beforeAutospacing="0" w:after="62" w:afterAutospacing="0" w:line="13" w:lineRule="atLeast"/>
              <w:ind w:left="420" w:right="0" w:hanging="420"/>
              <w:jc w:val="both"/>
              <w:rPr>
                <w:rFonts w:hint="eastAsia"/>
                <w:color w:val="auto"/>
                <w:highlight w:val="none"/>
              </w:rPr>
            </w:pPr>
            <w:r>
              <w:rPr>
                <w:rFonts w:hint="eastAsia"/>
                <w:color w:val="auto"/>
                <w:highlight w:val="none"/>
              </w:rPr>
              <w:t>61.</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CB5F35E">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4667BFC">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支持医务科通过平板电脑执行督导工作，在督导过程中按照督导指标内容选择督导指标项目进行评分。</w:t>
            </w:r>
          </w:p>
        </w:tc>
      </w:tr>
      <w:tr w14:paraId="1200F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3710C6D">
            <w:pPr>
              <w:pStyle w:val="16"/>
              <w:keepNext w:val="0"/>
              <w:keepLines w:val="0"/>
              <w:widowControl/>
              <w:suppressLineNumbers w:val="0"/>
              <w:spacing w:before="62" w:beforeAutospacing="0" w:after="62" w:afterAutospacing="0" w:line="13" w:lineRule="atLeast"/>
              <w:ind w:left="420" w:right="0" w:hanging="420"/>
              <w:jc w:val="both"/>
              <w:rPr>
                <w:rFonts w:hint="eastAsia"/>
                <w:color w:val="auto"/>
                <w:highlight w:val="none"/>
              </w:rPr>
            </w:pPr>
            <w:r>
              <w:rPr>
                <w:rFonts w:hint="eastAsia"/>
                <w:color w:val="auto"/>
                <w:highlight w:val="none"/>
              </w:rPr>
              <w:t>62.</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5816AF0">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BEF2C0F">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▲支持在督导过程中上传照片与督导扣分指标关联。</w:t>
            </w:r>
          </w:p>
        </w:tc>
      </w:tr>
      <w:tr w14:paraId="5C061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230A3EE">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63.</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59BCE34">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FF18F2A">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▲支持在督导过程选择患者与督导扣分指标关联。</w:t>
            </w:r>
          </w:p>
        </w:tc>
      </w:tr>
      <w:tr w14:paraId="55177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B3408BC">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64.</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7908150">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EF0440A">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▲支持医务科将督导结果推送至督导目标科室，由科室负责填写发生原因和整改措施。</w:t>
            </w:r>
          </w:p>
        </w:tc>
      </w:tr>
      <w:tr w14:paraId="67142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60DFE72">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65.</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418D380">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D9B53B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支持科室质负责将填写完成的督导表提交至医务科或督导专家组进行审核归档。</w:t>
            </w:r>
          </w:p>
        </w:tc>
      </w:tr>
      <w:tr w14:paraId="5E8FD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3CD2012">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color w:val="auto"/>
                <w:highlight w:val="none"/>
              </w:rPr>
              <w:t>66.</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784D68C">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0C0D90A">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支持督导结果，内容的统计分析报表查询。</w:t>
            </w:r>
          </w:p>
        </w:tc>
      </w:tr>
      <w:tr w14:paraId="3697D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1813545">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67.</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1E94C65">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临床医疗制度管理</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DD56199">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支持医务科发布院内医疗制度公告，填写发布的制度标题，发布日期，上传word、pdf、图片等格式的制度文件。</w:t>
            </w:r>
          </w:p>
        </w:tc>
      </w:tr>
      <w:tr w14:paraId="21E61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4219DB0">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68.</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D21631C">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FD41484">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支持临床医生通过系统在线查阅、下载学习制度文件，并记录下载或查阅的人次信息。</w:t>
            </w:r>
          </w:p>
        </w:tc>
      </w:tr>
      <w:tr w14:paraId="74B80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1DC4030">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F436CA7">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5EC8495">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支持医疗临床制度文档管理功能，可实现文档的多级分类存储与规范化管理。</w:t>
            </w:r>
          </w:p>
        </w:tc>
      </w:tr>
      <w:tr w14:paraId="21D79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83DA1EA">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06F6FAD">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B74267D">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支持分类权限精细化隔离配置，可按科室维度灵活设定文档访问范围，实现指定科室专属可见。</w:t>
            </w:r>
          </w:p>
        </w:tc>
      </w:tr>
      <w:tr w14:paraId="0966C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4"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E0A11E2">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69.</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265CA4E">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145864F">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支持上传的制度文件的版本管理，记录每版更新内容、更新人、更新时间，可追溯查询历史制度文件。</w:t>
            </w:r>
          </w:p>
        </w:tc>
      </w:tr>
      <w:tr w14:paraId="6BE5F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F7A0DE5">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70.</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3CA3C78">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投诉与纠纷管理</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BD29D71">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支持按照医院投诉与纠纷登记表单设计电子填报流程。</w:t>
            </w:r>
          </w:p>
        </w:tc>
      </w:tr>
      <w:tr w14:paraId="11861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1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0F715F1">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71.</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FDBC975">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219C695">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支持将投诉与纠纷单推送至责任科室处理，并完成投诉与纠纷的闭环归档。支持催办并对即将超时案件亮灯展示。</w:t>
            </w:r>
          </w:p>
        </w:tc>
      </w:tr>
      <w:tr w14:paraId="5BDF0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2F52F41">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72.</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1253102">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E515526">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支持投诉与纠纷事件的随访信息的填写。</w:t>
            </w:r>
          </w:p>
        </w:tc>
      </w:tr>
      <w:tr w14:paraId="0663E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ADE75E0">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022BC90">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980C3AB">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支持查看在院投诉、多次投诉患者的投诉信息。</w:t>
            </w:r>
          </w:p>
        </w:tc>
      </w:tr>
      <w:tr w14:paraId="4776D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405EC13">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4"/>
                <w:szCs w:val="24"/>
                <w:highlight w:val="none"/>
                <w:vertAlign w:val="baseline"/>
              </w:rPr>
              <w:t>73.</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0D09CC3">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5C42B49">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支持投诉与纠纷事件的统计分析。</w:t>
            </w:r>
          </w:p>
        </w:tc>
      </w:tr>
      <w:tr w14:paraId="0E347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A887F8E">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7E0821D">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368C68B">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支持针对投诉案件发起对被投诉科室的PDSA持续改进任务。</w:t>
            </w:r>
          </w:p>
        </w:tc>
      </w:tr>
      <w:tr w14:paraId="1409D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67"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411F859">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rFonts w:hint="eastAsia" w:ascii="宋体" w:hAnsi="宋体" w:eastAsia="宋体" w:cs="宋体"/>
                <w:b w:val="0"/>
                <w:bCs w:val="0"/>
                <w:i w:val="0"/>
                <w:iCs w:val="0"/>
                <w:color w:val="auto"/>
                <w:spacing w:val="0"/>
                <w:w w:val="100"/>
                <w:sz w:val="24"/>
                <w:szCs w:val="24"/>
                <w:highlight w:val="none"/>
                <w:vertAlign w:val="baseline"/>
              </w:rPr>
              <w:t>74.</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6B8C5E6">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医务绩效指标管理</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7F74398">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支持对院内业务数据进行数据清洗，包括HIS、EMR、病案管理、手术麻醉等系统，清洗数据按照标准化数据元值进行转换，并转载至数据模型仓库。</w:t>
            </w:r>
          </w:p>
        </w:tc>
      </w:tr>
      <w:tr w14:paraId="02D76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EF045C5">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4BEA320">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180D2F6">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支持对绩效考核体系目录的自定义目录层级进行维护，可根据医院的具体需求对目录明细进行自定义设定。</w:t>
            </w:r>
          </w:p>
        </w:tc>
      </w:tr>
      <w:tr w14:paraId="582C2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1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0E07017">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rFonts w:hint="eastAsia" w:ascii="宋体" w:hAnsi="宋体" w:eastAsia="宋体" w:cs="宋体"/>
                <w:b w:val="0"/>
                <w:bCs w:val="0"/>
                <w:i w:val="0"/>
                <w:iCs w:val="0"/>
                <w:color w:val="auto"/>
                <w:spacing w:val="0"/>
                <w:w w:val="100"/>
                <w:sz w:val="24"/>
                <w:szCs w:val="24"/>
                <w:highlight w:val="none"/>
                <w:vertAlign w:val="baseline"/>
              </w:rPr>
              <w:t>75.</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E721907">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4E767BD">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▲支持医务绩效指标指标的工具可视化维护，包括维护指标的名称、指标说明、指标类型、计算公式、指标导向等。</w:t>
            </w:r>
          </w:p>
        </w:tc>
      </w:tr>
      <w:tr w14:paraId="7FFDB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6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143627D1">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rFonts w:hint="eastAsia" w:ascii="宋体" w:hAnsi="宋体" w:eastAsia="宋体" w:cs="宋体"/>
                <w:b w:val="0"/>
                <w:bCs w:val="0"/>
                <w:i w:val="0"/>
                <w:iCs w:val="0"/>
                <w:color w:val="auto"/>
                <w:spacing w:val="0"/>
                <w:w w:val="100"/>
                <w:sz w:val="24"/>
                <w:szCs w:val="24"/>
                <w:highlight w:val="none"/>
                <w:vertAlign w:val="baseline"/>
              </w:rPr>
              <w:t>76.</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6AECE3B">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D0F966D">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支持按照指标考核要求，自动按天、月、年汇总计算指标数据。</w:t>
            </w:r>
          </w:p>
        </w:tc>
      </w:tr>
      <w:tr w14:paraId="37426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7D49C73">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rFonts w:hint="eastAsia" w:ascii="宋体" w:hAnsi="宋体" w:eastAsia="宋体" w:cs="宋体"/>
                <w:b w:val="0"/>
                <w:bCs w:val="0"/>
                <w:i w:val="0"/>
                <w:iCs w:val="0"/>
                <w:color w:val="auto"/>
                <w:spacing w:val="0"/>
                <w:w w:val="100"/>
                <w:sz w:val="24"/>
                <w:szCs w:val="24"/>
                <w:highlight w:val="none"/>
                <w:vertAlign w:val="baseline"/>
              </w:rPr>
              <w:t>77.</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E13DF83">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1801664">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▲支持按照医院科室</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医师个人等维护绩效指标目标值，用于医务管理指标的预警。</w:t>
            </w:r>
          </w:p>
        </w:tc>
      </w:tr>
      <w:tr w14:paraId="06D72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7BA1681">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CF89557">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6B87E06">
            <w:pPr>
              <w:pStyle w:val="16"/>
              <w:keepNext w:val="0"/>
              <w:keepLines w:val="0"/>
              <w:widowControl/>
              <w:suppressLineNumbers w:val="0"/>
              <w:spacing w:before="0" w:beforeAutospacing="0" w:after="0" w:afterAutospacing="0"/>
              <w:ind w:left="0" w:right="0"/>
              <w:jc w:val="left"/>
              <w:rPr>
                <w:rFonts w:hint="eastAsia" w:eastAsia="宋体"/>
                <w:lang w:val="en-US" w:eastAsia="zh-CN"/>
              </w:rPr>
            </w:pPr>
            <w:r>
              <w:rPr>
                <w:rFonts w:hint="eastAsia" w:ascii="宋体" w:hAnsi="宋体" w:eastAsia="宋体" w:cs="宋体"/>
                <w:b w:val="0"/>
                <w:bCs w:val="0"/>
                <w:i w:val="0"/>
                <w:iCs w:val="0"/>
                <w:color w:val="000000"/>
                <w:spacing w:val="0"/>
                <w:w w:val="100"/>
                <w:sz w:val="21"/>
                <w:szCs w:val="21"/>
                <w:vertAlign w:val="baseline"/>
              </w:rPr>
              <w:t>支持指标维度以及多层级维度的高级设置,有助于依据维护规则开展下钻统计分析。在指标分析应用里，指标能够按照自定义的多层维度逐层进行下钻分析。</w:t>
            </w:r>
          </w:p>
        </w:tc>
      </w:tr>
      <w:tr w14:paraId="2A583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1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D34DBEC">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rFonts w:hint="eastAsia" w:ascii="宋体" w:hAnsi="宋体" w:eastAsia="宋体" w:cs="宋体"/>
                <w:b w:val="0"/>
                <w:bCs w:val="0"/>
                <w:i w:val="0"/>
                <w:iCs w:val="0"/>
                <w:color w:val="auto"/>
                <w:spacing w:val="0"/>
                <w:w w:val="100"/>
                <w:sz w:val="24"/>
                <w:szCs w:val="24"/>
                <w:highlight w:val="none"/>
                <w:vertAlign w:val="baseline"/>
              </w:rPr>
              <w:t>78.</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D2A6C1C">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DB0D55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▲支持医务管理指标的月度数据监控，对于异常管理指标能够支持多渠道的消息推送提醒管理者，包括短信、微信企业号等。</w:t>
            </w:r>
          </w:p>
        </w:tc>
      </w:tr>
      <w:tr w14:paraId="3056D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AA6374E">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rFonts w:hint="eastAsia" w:ascii="宋体" w:hAnsi="宋体" w:eastAsia="宋体" w:cs="宋体"/>
                <w:b w:val="0"/>
                <w:bCs w:val="0"/>
                <w:i w:val="0"/>
                <w:iCs w:val="0"/>
                <w:color w:val="auto"/>
                <w:spacing w:val="0"/>
                <w:w w:val="100"/>
                <w:sz w:val="24"/>
                <w:szCs w:val="24"/>
                <w:highlight w:val="none"/>
                <w:vertAlign w:val="baseline"/>
              </w:rPr>
              <w:t>79.</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66F7D0D">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509E4C2">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支持医务管理指标设计BI模型，并支持图形化展示各项指标，包括不限于饼图、柱状图、趋势图、仪表盘、数据表格等，支持数据的下钻查询，链接医院患者档案浏览器等功能。</w:t>
            </w:r>
          </w:p>
        </w:tc>
      </w:tr>
      <w:tr w14:paraId="194AA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6F82EBF">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BC2FE05">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D420334">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绩效考核指标分析界面支持自定义功能，包含面板一级目录与二级目录的设置，以及目录的自定义指标配置。各个指标模块以“本期值+同期值 +目标值”的形式呈现，清晰明确指标达标情况。</w:t>
            </w:r>
          </w:p>
        </w:tc>
      </w:tr>
      <w:tr w14:paraId="25799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C8F4D0B">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rFonts w:hint="eastAsia" w:ascii="宋体" w:hAnsi="宋体" w:eastAsia="宋体" w:cs="宋体"/>
                <w:b w:val="0"/>
                <w:bCs w:val="0"/>
                <w:i w:val="0"/>
                <w:iCs w:val="0"/>
                <w:color w:val="auto"/>
                <w:spacing w:val="0"/>
                <w:w w:val="100"/>
                <w:sz w:val="24"/>
                <w:szCs w:val="24"/>
                <w:highlight w:val="none"/>
                <w:vertAlign w:val="baseline"/>
              </w:rPr>
              <w:t>80.</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4C3ED96">
            <w:pPr>
              <w:rPr>
                <w:rFonts w:hint="eastAsia" w:ascii="宋体"/>
                <w:sz w:val="24"/>
                <w:szCs w:val="24"/>
              </w:rPr>
            </w:pPr>
          </w:p>
        </w:tc>
        <w:tc>
          <w:tcPr>
            <w:tcW w:w="6845"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712A345">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▲支持医务管理绩效管理小报的自动生成和导出，支持各指标的单项数据的EXCEL导出功能，支持院内月度医务管理word报告的导出。</w:t>
            </w:r>
          </w:p>
        </w:tc>
      </w:tr>
      <w:tr w14:paraId="6BF13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0"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0A2942F">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rFonts w:hint="eastAsia" w:ascii="宋体" w:hAnsi="宋体" w:eastAsia="宋体" w:cs="宋体"/>
                <w:b w:val="0"/>
                <w:bCs w:val="0"/>
                <w:i w:val="0"/>
                <w:iCs w:val="0"/>
                <w:color w:val="auto"/>
                <w:spacing w:val="0"/>
                <w:w w:val="100"/>
                <w:sz w:val="24"/>
                <w:szCs w:val="24"/>
                <w:highlight w:val="none"/>
                <w:vertAlign w:val="baseline"/>
              </w:rPr>
              <w:t>81.</w:t>
            </w:r>
          </w:p>
        </w:tc>
        <w:tc>
          <w:tcPr>
            <w:tcW w:w="1327" w:type="dxa"/>
            <w:vMerge w:val="restart"/>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F5C65FC">
            <w:pPr>
              <w:pStyle w:val="16"/>
              <w:keepNext w:val="0"/>
              <w:keepLines w:val="0"/>
              <w:widowControl/>
              <w:suppressLineNumbers w:val="0"/>
              <w:spacing w:before="62" w:beforeAutospacing="0" w:after="62" w:afterAutospacing="0" w:line="13" w:lineRule="atLeast"/>
              <w:ind w:left="0" w:right="0"/>
              <w:jc w:val="both"/>
            </w:pPr>
            <w:r>
              <w:rPr>
                <w:rFonts w:hint="eastAsia" w:ascii="宋体" w:hAnsi="宋体" w:eastAsia="宋体" w:cs="宋体"/>
                <w:b w:val="0"/>
                <w:bCs w:val="0"/>
                <w:i w:val="0"/>
                <w:iCs w:val="0"/>
                <w:color w:val="000000"/>
                <w:spacing w:val="0"/>
                <w:w w:val="100"/>
                <w:sz w:val="24"/>
                <w:szCs w:val="24"/>
                <w:vertAlign w:val="baseline"/>
              </w:rPr>
              <w:t>集成管理</w:t>
            </w: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50C03A8">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支持按部门、人员、角色等设置操作权限。</w:t>
            </w:r>
          </w:p>
        </w:tc>
      </w:tr>
      <w:tr w14:paraId="03B59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2"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02C041C">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3AB3C48">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D01803B">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支持页面按钮配置，可依据角色对页面按钮权限予以配置。</w:t>
            </w:r>
          </w:p>
        </w:tc>
      </w:tr>
      <w:tr w14:paraId="4877B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3"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09077D99">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492B031">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50DBFC40">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支持页面数据权限配置，能够按照角色配置页面权限，涵盖本人、本科室、本院区以及全数据权限配置。</w:t>
            </w:r>
          </w:p>
        </w:tc>
      </w:tr>
      <w:tr w14:paraId="24A10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89"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6107E618">
            <w:pPr>
              <w:pStyle w:val="16"/>
              <w:keepNext w:val="0"/>
              <w:keepLines w:val="0"/>
              <w:widowControl/>
              <w:suppressLineNumbers w:val="0"/>
              <w:spacing w:before="62" w:beforeAutospacing="0" w:after="62" w:afterAutospacing="0" w:line="13" w:lineRule="atLeast"/>
              <w:ind w:left="0" w:right="0"/>
              <w:jc w:val="center"/>
              <w:rPr>
                <w:color w:val="auto"/>
                <w:highlight w:val="none"/>
              </w:rPr>
            </w:pPr>
            <w:r>
              <w:rPr>
                <w:b w:val="0"/>
                <w:bCs w:val="0"/>
                <w:i w:val="0"/>
                <w:iCs w:val="0"/>
                <w:color w:val="auto"/>
                <w:spacing w:val="0"/>
                <w:w w:val="100"/>
                <w:sz w:val="22"/>
                <w:szCs w:val="22"/>
                <w:highlight w:val="none"/>
                <w:vertAlign w:val="baseline"/>
                <w:lang w:val="en-US"/>
              </w:rPr>
              <w:t> </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3EFC0029">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4A4112C6">
            <w:pPr>
              <w:pStyle w:val="16"/>
              <w:keepNext w:val="0"/>
              <w:keepLines w:val="0"/>
              <w:widowControl/>
              <w:suppressLineNumbers w:val="0"/>
              <w:spacing w:before="0" w:beforeAutospacing="0" w:after="0" w:afterAutospacing="0"/>
              <w:ind w:left="0" w:right="0"/>
              <w:jc w:val="left"/>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支持多院区、多科室、多模块、多角色的灵活配置。多系统角色可在同一界面进行集中维护，角色授权不仅支持配置页面按钮权限（包括增删改查按钮），还支持配置页面数据权限（涵盖个人、本科室、本院区乃至全数据的权限设置）。此外，系统支持在同一界面给用户分配多个系统的科室权限和角色权限。在系统模块操作过程中，用户还能灵活切换已授权的科室。</w:t>
            </w:r>
          </w:p>
        </w:tc>
      </w:tr>
      <w:tr w14:paraId="0082D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91" w:hRule="atLeast"/>
          <w:jc w:val="center"/>
        </w:trPr>
        <w:tc>
          <w:tcPr>
            <w:tcW w:w="822" w:type="dxa"/>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7BC20399">
            <w:pPr>
              <w:pStyle w:val="16"/>
              <w:keepNext w:val="0"/>
              <w:keepLines w:val="0"/>
              <w:widowControl/>
              <w:suppressLineNumbers w:val="0"/>
              <w:spacing w:before="62" w:beforeAutospacing="0" w:after="62" w:afterAutospacing="0" w:line="13" w:lineRule="atLeast"/>
              <w:ind w:left="420" w:right="0" w:hanging="420"/>
              <w:jc w:val="both"/>
              <w:rPr>
                <w:color w:val="auto"/>
                <w:highlight w:val="none"/>
              </w:rPr>
            </w:pPr>
            <w:r>
              <w:rPr>
                <w:rFonts w:hint="eastAsia" w:ascii="宋体" w:hAnsi="宋体" w:eastAsia="宋体" w:cs="宋体"/>
                <w:b w:val="0"/>
                <w:bCs w:val="0"/>
                <w:i w:val="0"/>
                <w:iCs w:val="0"/>
                <w:color w:val="auto"/>
                <w:spacing w:val="0"/>
                <w:w w:val="100"/>
                <w:sz w:val="24"/>
                <w:szCs w:val="24"/>
                <w:highlight w:val="none"/>
                <w:vertAlign w:val="baseline"/>
              </w:rPr>
              <w:t>82.</w:t>
            </w:r>
          </w:p>
        </w:tc>
        <w:tc>
          <w:tcPr>
            <w:tcW w:w="1327" w:type="dxa"/>
            <w:vMerge w:val="continue"/>
            <w:tcBorders>
              <w:top w:val="single" w:color="000000"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DF06EE0">
            <w:pPr>
              <w:rPr>
                <w:rFonts w:hint="eastAsia" w:ascii="宋体"/>
                <w:sz w:val="24"/>
                <w:szCs w:val="24"/>
              </w:rPr>
            </w:pPr>
          </w:p>
        </w:tc>
        <w:tc>
          <w:tcPr>
            <w:tcW w:w="6845" w:type="dxa"/>
            <w:tcBorders>
              <w:top w:val="single" w:color="CBCDD1" w:sz="2" w:space="0"/>
              <w:left w:val="single" w:color="000000" w:sz="6" w:space="0"/>
              <w:bottom w:val="single" w:color="000000" w:sz="6" w:space="0"/>
              <w:right w:val="single" w:color="000000" w:sz="6" w:space="0"/>
            </w:tcBorders>
            <w:shd w:val="clear" w:color="auto" w:fill="auto"/>
            <w:tcMar>
              <w:top w:w="0" w:type="dxa"/>
              <w:left w:w="72" w:type="dxa"/>
              <w:bottom w:w="0" w:type="dxa"/>
              <w:right w:w="72" w:type="dxa"/>
            </w:tcMar>
            <w:vAlign w:val="center"/>
          </w:tcPr>
          <w:p w14:paraId="29B2FBF8">
            <w:pPr>
              <w:pStyle w:val="16"/>
              <w:keepNext w:val="0"/>
              <w:keepLines w:val="0"/>
              <w:widowControl/>
              <w:suppressLineNumbers w:val="0"/>
              <w:spacing w:before="0" w:beforeAutospacing="0" w:after="0" w:afterAutospacing="0"/>
              <w:ind w:left="0" w:right="0"/>
              <w:jc w:val="left"/>
            </w:pPr>
            <w:r>
              <w:rPr>
                <w:rFonts w:hint="eastAsia" w:ascii="宋体" w:hAnsi="宋体" w:eastAsia="宋体" w:cs="宋体"/>
                <w:b w:val="0"/>
                <w:bCs w:val="0"/>
                <w:i w:val="0"/>
                <w:iCs w:val="0"/>
                <w:color w:val="000000"/>
                <w:spacing w:val="0"/>
                <w:w w:val="100"/>
                <w:sz w:val="21"/>
                <w:szCs w:val="21"/>
                <w:vertAlign w:val="baseline"/>
              </w:rPr>
              <w:t>▲支持与第三方系统无缝集成，提供单点登陆URL接口服务</w:t>
            </w:r>
          </w:p>
        </w:tc>
      </w:tr>
    </w:tbl>
    <w:p w14:paraId="60247E97">
      <w:pPr>
        <w:pStyle w:val="21"/>
        <w:rPr>
          <w:rFonts w:hint="eastAsia"/>
          <w:sz w:val="24"/>
          <w:szCs w:val="24"/>
        </w:rPr>
      </w:pPr>
    </w:p>
    <w:p w14:paraId="6A6FBC8E">
      <w:pPr>
        <w:pStyle w:val="21"/>
        <w:rPr>
          <w:rFonts w:hint="eastAsia"/>
          <w:sz w:val="24"/>
          <w:szCs w:val="24"/>
        </w:rPr>
      </w:pPr>
    </w:p>
    <w:p w14:paraId="5594D1A4">
      <w:pPr>
        <w:pStyle w:val="21"/>
        <w:rPr>
          <w:rFonts w:hint="eastAsia"/>
          <w:sz w:val="24"/>
          <w:szCs w:val="24"/>
        </w:rPr>
      </w:pPr>
    </w:p>
    <w:p w14:paraId="136670EE">
      <w:pPr>
        <w:rPr>
          <w:sz w:val="24"/>
          <w:szCs w:val="24"/>
        </w:rPr>
      </w:pPr>
      <w:bookmarkStart w:id="0" w:name="_GoBack"/>
      <w:bookmarkEnd w:id="0"/>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swiss"/>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script"/>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685A"/>
    <w:multiLevelType w:val="multilevel"/>
    <w:tmpl w:val="1F32685A"/>
    <w:lvl w:ilvl="0" w:tentative="0">
      <w:start w:val="1"/>
      <w:numFmt w:val="decimal"/>
      <w:pStyle w:val="22"/>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C747071"/>
    <w:rsid w:val="1D532009"/>
    <w:rsid w:val="1E126711"/>
    <w:rsid w:val="1F736570"/>
    <w:rsid w:val="1F97749C"/>
    <w:rsid w:val="1FBE772B"/>
    <w:rsid w:val="206C2341"/>
    <w:rsid w:val="21AC3DB3"/>
    <w:rsid w:val="221C5952"/>
    <w:rsid w:val="251D54C7"/>
    <w:rsid w:val="27B468BB"/>
    <w:rsid w:val="28FB6912"/>
    <w:rsid w:val="293715E5"/>
    <w:rsid w:val="29435826"/>
    <w:rsid w:val="2BC80D77"/>
    <w:rsid w:val="2C5D1363"/>
    <w:rsid w:val="2CF717B7"/>
    <w:rsid w:val="2D9D5991"/>
    <w:rsid w:val="2E1161C9"/>
    <w:rsid w:val="2FF574D3"/>
    <w:rsid w:val="302723B3"/>
    <w:rsid w:val="33852335"/>
    <w:rsid w:val="33BF7284"/>
    <w:rsid w:val="34A664F8"/>
    <w:rsid w:val="36ED530F"/>
    <w:rsid w:val="397A79F8"/>
    <w:rsid w:val="3AD35612"/>
    <w:rsid w:val="3C264863"/>
    <w:rsid w:val="3C6908E7"/>
    <w:rsid w:val="3CDF1E8E"/>
    <w:rsid w:val="3DCC1CEF"/>
    <w:rsid w:val="3E9D5936"/>
    <w:rsid w:val="3EBE6087"/>
    <w:rsid w:val="40CE4C5A"/>
    <w:rsid w:val="41AE2E46"/>
    <w:rsid w:val="42F308B1"/>
    <w:rsid w:val="43CA7ECB"/>
    <w:rsid w:val="457E74C5"/>
    <w:rsid w:val="47173184"/>
    <w:rsid w:val="486E604D"/>
    <w:rsid w:val="491A0EBA"/>
    <w:rsid w:val="4DB03590"/>
    <w:rsid w:val="57311572"/>
    <w:rsid w:val="57760F4E"/>
    <w:rsid w:val="5ABD1400"/>
    <w:rsid w:val="5B4869ED"/>
    <w:rsid w:val="5C0E0E83"/>
    <w:rsid w:val="5C966047"/>
    <w:rsid w:val="5D786D1A"/>
    <w:rsid w:val="5F545483"/>
    <w:rsid w:val="614926D5"/>
    <w:rsid w:val="634A17BF"/>
    <w:rsid w:val="63C05E4E"/>
    <w:rsid w:val="64104F27"/>
    <w:rsid w:val="64842452"/>
    <w:rsid w:val="652135E5"/>
    <w:rsid w:val="666C6A4D"/>
    <w:rsid w:val="67892A30"/>
    <w:rsid w:val="678C42CF"/>
    <w:rsid w:val="69EC6364"/>
    <w:rsid w:val="6B126E3A"/>
    <w:rsid w:val="6B880FF7"/>
    <w:rsid w:val="6C6B28EF"/>
    <w:rsid w:val="6FAA5C3A"/>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Body Text"/>
    <w:basedOn w:val="1"/>
    <w:next w:val="12"/>
    <w:unhideWhenUsed/>
    <w:qFormat/>
    <w:uiPriority w:val="99"/>
    <w:pPr>
      <w:spacing w:after="120"/>
    </w:pPr>
  </w:style>
  <w:style w:type="paragraph" w:styleId="12">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4">
    <w:name w:val="toc 1"/>
    <w:basedOn w:val="1"/>
    <w:next w:val="1"/>
    <w:unhideWhenUsed/>
    <w:qFormat/>
    <w:uiPriority w:val="1"/>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6">
    <w:name w:val="Normal (Web)"/>
    <w:basedOn w:val="1"/>
    <w:qFormat/>
    <w:uiPriority w:val="0"/>
    <w:rPr>
      <w:sz w:val="24"/>
    </w:rPr>
  </w:style>
  <w:style w:type="table" w:styleId="18">
    <w:name w:val="Table Grid"/>
    <w:basedOn w:val="17"/>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0">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1">
    <w:name w:val="No Spacing1"/>
    <w:basedOn w:val="1"/>
    <w:qFormat/>
    <w:uiPriority w:val="1"/>
    <w:pPr>
      <w:spacing w:line="400" w:lineRule="exact"/>
    </w:pPr>
    <w:rPr>
      <w:sz w:val="24"/>
    </w:rPr>
  </w:style>
  <w:style w:type="paragraph" w:customStyle="1" w:styleId="22">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3">
    <w:name w:val="U_正文2"/>
    <w:basedOn w:val="1"/>
    <w:qFormat/>
    <w:uiPriority w:val="0"/>
    <w:pPr>
      <w:spacing w:before="10" w:beforeLines="10" w:after="10" w:afterLines="10" w:line="300" w:lineRule="auto"/>
    </w:pPr>
    <w:rPr>
      <w:sz w:val="24"/>
      <w:szCs w:val="20"/>
    </w:rPr>
  </w:style>
  <w:style w:type="paragraph" w:customStyle="1" w:styleId="24">
    <w:name w:val="U_正文"/>
    <w:basedOn w:val="1"/>
    <w:qFormat/>
    <w:uiPriority w:val="0"/>
    <w:pPr>
      <w:spacing w:before="20" w:beforeLines="20" w:after="20" w:afterLines="20" w:line="300" w:lineRule="auto"/>
      <w:ind w:firstLine="200" w:firstLineChars="200"/>
    </w:pPr>
    <w:rPr>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6</Pages>
  <Words>6797</Words>
  <Characters>7015</Characters>
  <Lines>0</Lines>
  <Paragraphs>0</Paragraphs>
  <TotalTime>5</TotalTime>
  <ScaleCrop>false</ScaleCrop>
  <LinksUpToDate>false</LinksUpToDate>
  <CharactersWithSpaces>7144</CharactersWithSpaces>
  <Application>WPS Office_12.1.0.23122_F1E327BC-269C-435d-A152-05C5408002CA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忽而今夏</cp:lastModifiedBy>
  <cp:lastPrinted>2025-11-03T01:16:48Z</cp:lastPrinted>
  <dcterms:modified xsi:type="dcterms:W3CDTF">2025-11-03T01:19:14Z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2052-12.1.0.23122</vt:lpwstr>
  </property>
  <property fmtid="{D5CDD505-2E9C-101B-9397-08002B2CF9AE}" pid="3" name="ICV">
    <vt:lpwstr>4644CC96BE614FCB889687724A518B0B_13</vt:lpwstr>
  </property>
  <property fmtid="{D5CDD505-2E9C-101B-9397-08002B2CF9AE}" pid="4" name="KSOTemplateDocerSaveRecord">
    <vt:lpwstr>eyJoZGlkIjoiNTE1YmUzZDk3ZTVjZGU4ZWM5NTE0ZjYzNmRmYTAwMjMiLCJ1c2VySWQiOiI1OTIyNDYxOTMifQ==</vt:lpwstr>
  </property>
</Properties>
</file>