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7AED0">
      <w:pPr>
        <w:spacing w:line="440" w:lineRule="exact"/>
        <w:jc w:val="center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天门市第一人民医院</w:t>
      </w:r>
    </w:p>
    <w:p w14:paraId="0167458F">
      <w:pPr>
        <w:spacing w:line="440" w:lineRule="exact"/>
        <w:jc w:val="center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</w:rPr>
        <w:t>病历电子归档及复印整体服务外包功能需求</w:t>
      </w:r>
    </w:p>
    <w:p w14:paraId="1CBB3217">
      <w:pPr>
        <w:spacing w:line="360" w:lineRule="exact"/>
        <w:jc w:val="center"/>
        <w:rPr>
          <w:rFonts w:ascii="宋体" w:hAnsi="宋体" w:cs="宋体"/>
          <w:b/>
          <w:bCs/>
          <w:color w:val="000000"/>
          <w:kern w:val="0"/>
          <w:sz w:val="32"/>
          <w:szCs w:val="72"/>
        </w:rPr>
      </w:pPr>
    </w:p>
    <w:p w14:paraId="4686946F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="宋体" w:hAnsi="宋体" w:cs="宋体"/>
          <w:b/>
          <w:bCs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</w:rPr>
        <w:t>项目概述</w:t>
      </w:r>
    </w:p>
    <w:p w14:paraId="0FCB46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jc w:val="left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现要求对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纸质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病案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或无纸化后少量纸质病案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进行电子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归档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能切实提高病案复印效率，形成高度可利用的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电子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化病案，支持病案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一体化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查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阅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病历扫描签收、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复印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打印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等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以及满足病案无纸化功能使用需求。</w:t>
      </w:r>
    </w:p>
    <w:p w14:paraId="3A3E598D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项目要求</w:t>
      </w:r>
    </w:p>
    <w:p w14:paraId="47348A6B"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电子化质量要求</w:t>
      </w:r>
    </w:p>
    <w:p w14:paraId="07166F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1.合同期内产生的住院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纸质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病案均需完成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实时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电子化归档，可采用扫描或高拍方式实现，图像质量高于300万像素，且色彩符合爱色丽24色色彩测试标板；</w:t>
      </w:r>
    </w:p>
    <w:p w14:paraId="4C2FF7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2.通过扫描或高拍后数据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完成索引，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进入医院的存储设备进行电子化归档存储，存储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按自助打印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要求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且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必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须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满足无纸化病历软件使用要求。</w:t>
      </w:r>
    </w:p>
    <w:p w14:paraId="0A1C2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3.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病案扫描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或高拍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图像必须有严格的质控措施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，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保证图像质量和电子文档储存安全。电子文档必须完整储存，不得缺页、漏页、图像不清晰、失真，影响图像的利用效果，倾斜度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小于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10度，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不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能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有折叠或缺损。扫描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或高拍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图像的打印件与病案原稿清晰度一致且按原件100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%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扫描；</w:t>
      </w:r>
    </w:p>
    <w:p w14:paraId="1B0A4D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4.病案电子化制作过程中保证病案的安全性及完整性，不得遗漏、丢失、泄密、破坏、污损。必须保证每一份病案资料都完成电子化，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且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制作完成的病案须装订好，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乙方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后期打包、搬运至远期库房，有序存放；</w:t>
      </w:r>
    </w:p>
    <w:p w14:paraId="2CA2DB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5.所制作的电子化病案按一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本病历一个文档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，上传到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甲方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服务器后以数据库形式保存在服务器及存储设备中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，并进行备份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5FB660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6.病案图像电子化工作场地、人员选择，需按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我院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要求，病案图像电子化制作人员须与本院工作人员紧密协作，在我院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同质化管理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下完成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各项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工作。</w:t>
      </w:r>
    </w:p>
    <w:p w14:paraId="255068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00" w:firstLineChars="25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7.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除扫描电脑和存储设备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由甲方提供，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其他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所有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设备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设施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由中标方提供。</w:t>
      </w:r>
    </w:p>
    <w:p w14:paraId="4A2CDD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（二）软件功能要求</w:t>
      </w:r>
    </w:p>
    <w:p w14:paraId="1F8DC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4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1.医院拥有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项目病案电子化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扫描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管理软件永久使用权和提出个性化需求后实时更新权，且不得以任何名义加收软件使用及延伸系统费用。软件需可设置管理、操作、查阅等各类权限；</w:t>
      </w:r>
      <w:r>
        <w:rPr>
          <w:rFonts w:hint="eastAsia" w:asciiTheme="minorEastAsia" w:hAnsiTheme="minorEastAsia"/>
          <w:sz w:val="24"/>
          <w:lang w:val="en-US" w:eastAsia="zh-CN"/>
        </w:rPr>
        <w:t>需提供承诺函。</w:t>
      </w:r>
    </w:p>
    <w:p w14:paraId="4E09E7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4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①提供示踪系统：示踪系统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需能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追踪病案各环节的状态信息，各环节可自定义；提供病案从回收到库房存储全流程示踪，且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各节点内容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在同一界面显示。</w:t>
      </w:r>
    </w:p>
    <w:p w14:paraId="45A139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00" w:firstLineChars="250"/>
        <w:textAlignment w:val="auto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②微信公众号预约功能：可通过公众号进行网上预约，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支付邮寄，并</w:t>
      </w: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记录操作日志和日工作单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公众号网上预约和邮寄服务不得另向使用者收取软件使用服务费；</w:t>
      </w:r>
    </w:p>
    <w:p w14:paraId="46EB95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4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2.公司所提供软件应与医院现有系统的接口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对接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，如病案管理系统、电子病历系统、HIS系统等需要提取数据的系统能够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精准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衔接，实现数据共享。投标报价包含各系统间双方接口所需费用，对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后期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新增系统需要接口对接，中标方不得额外收费；</w:t>
      </w:r>
    </w:p>
    <w:p w14:paraId="76CE03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3.电子化病案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有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综合查询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功能：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可成组查询，一次录或导入多个号进行查询；</w:t>
      </w:r>
    </w:p>
    <w:p w14:paraId="0923A3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4.电子化病案的阅读权限设置：具有阅读权限的用户可以直接阅读，没有阅读权限的用户可以申请阅读，通过审核后可以阅读其具有阅读权限的电子化病案内容，设置时间后自动关闭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用户的阅读权限由我院自行设置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2617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5.数据备份功能：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经验收合格的完整数据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当天下班前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进行备份，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能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统计工作量。为保证数据安全，备份载体的选择应多样化，可采用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多种形式实现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多套备份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448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备份数据应进行检验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检验的内容主要包括备份数据能否打开、数据信息是否完整、文件数量是否准确等。数据存储设备，包括扫描电脑均为医院提供，公司不得复制或拷贝。</w:t>
      </w:r>
    </w:p>
    <w:p w14:paraId="1D3C6D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6.水印设置：可制作在查阅和打印时叠加上去的水印，水印内容包括登录人员信息、电脑IP等信息，并且在打印病案时将其叠加到病案打印的复印件上。</w:t>
      </w:r>
    </w:p>
    <w:p w14:paraId="1517A3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（三）病历打印功能要求</w:t>
      </w:r>
    </w:p>
    <w:p w14:paraId="622B52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1.窗口打印：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由中标公司人员按《医疗机构病历管理规定》进行复印相关证明材料审核；复印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申请单以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纸质和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电子的形式进行存储。复印记录，包括复印日期、目的、复印人、复印内容及项目登记、有关身份证明等材料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登记齐全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，通过电子化图像保存在数据库中备查；复印窗口证件审核、网上预约及复印病历审核盖章，均由我院工作人员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监管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52E22E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2.支持多种病案打印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（含自助）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方式：快速打印、任意组合、单页打印、控件集中打印、打印套餐打印等；自助打印机支持支付宝、微信等途径通过二维码付款，且复印费用按天门市物价局规定相关收费标准执行，不得高于国家标准。</w:t>
      </w:r>
    </w:p>
    <w:p w14:paraId="721CB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具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备水印打印功能，支持水印库，并可根据需要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调整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水印大小及打印深浅；</w:t>
      </w:r>
    </w:p>
    <w:p w14:paraId="0034B2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.该份病历复印次数，系统需给予复印次数提示；</w:t>
      </w:r>
    </w:p>
    <w:p w14:paraId="1CDD7A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除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扫描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电脑和场地外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所有扫描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打印设备和耗材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、纸箱等物品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归中标方提供。</w:t>
      </w:r>
    </w:p>
    <w:p w14:paraId="1C6942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jc w:val="left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以上功能为必须满足条件，包含但不限于以上功能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54651E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（四）人员培训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及其他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要求</w:t>
      </w:r>
    </w:p>
    <w:p w14:paraId="12FE4A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在合同期间，派遣到院方的员工同病案科职员同质化管理，所有劳动权利、人身安全责任、与第三方（客户）发生的投诉、纠纷等由中标方负责。</w:t>
      </w:r>
    </w:p>
    <w:p w14:paraId="0EC16E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投标人中标后负责对我院病案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科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人员进行病案电子化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使用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培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训。</w:t>
      </w:r>
    </w:p>
    <w:p w14:paraId="732E1E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.在项目实施期间，中标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方即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派工程师进驻实施现场，以保证系统运行正常。</w:t>
      </w:r>
    </w:p>
    <w:p w14:paraId="4FFC7C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由中标方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完成我院年均约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万份纸质病案电子化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扫描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回收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及免费搬运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工作，且月均工作效率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高于当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月出院量，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接受我院同质化管理，保质保量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高效完成；</w:t>
      </w:r>
    </w:p>
    <w:p w14:paraId="0397E1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（五）保密要求</w:t>
      </w:r>
    </w:p>
    <w:p w14:paraId="6BC0B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41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1.中标方须以协议的方式约定病案保密责任，遵守相关保密制度；病案泄密的责任在中标方的，由中标方承担相应的责任；</w:t>
      </w:r>
    </w:p>
    <w:p w14:paraId="28C90B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41"/>
        <w:textAlignment w:val="auto"/>
        <w:rPr>
          <w:rFonts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2.电子化病案资料的所有权归属本院，在项目结束时都必须完整移交；</w:t>
      </w:r>
    </w:p>
    <w:p w14:paraId="73F1DD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41"/>
        <w:textAlignment w:val="auto"/>
        <w:rPr>
          <w:rFonts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3.参与项目实施的人员不得有违法犯罪的记录，不得采用临时聘用人员。</w:t>
      </w:r>
    </w:p>
    <w:p w14:paraId="4CCF18E7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="宋体" w:hAnsi="宋体" w:cs="宋体"/>
          <w:b/>
          <w:bCs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</w:rPr>
        <w:t>投标报价</w:t>
      </w:r>
    </w:p>
    <w:p w14:paraId="74CE3A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本项目电子归档方式，以扫描、高拍的形式均可。电子归档价格以病历数报价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eastAsia="zh-CN"/>
        </w:rPr>
        <w:t>，可分为无纸化前和无纸化后（少量几页）报价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。复印病历服务收入归中标公司收取。复印收费不得超过物价局核定的价格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A4纸0.5元/页）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。</w:t>
      </w:r>
    </w:p>
    <w:p w14:paraId="1CEEA8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</w:rPr>
        <w:t>一经中标，投标报价总价作为中标单位与采购单位签定的合同金额，合同期限内不做调整。投标人的投标报价不得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eastAsia="zh-CN"/>
        </w:rPr>
        <w:t>高于往年电子化价格（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/>
        </w:rPr>
        <w:t>0.91元/份）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。</w:t>
      </w:r>
    </w:p>
    <w:p w14:paraId="732232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hint="eastAsia"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/>
          <w:sz w:val="24"/>
        </w:rPr>
        <w:t>本项目不接受联合体投标；不允许转包、分包。</w:t>
      </w:r>
    </w:p>
    <w:p w14:paraId="4F88CFF6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Theme="majorEastAsia" w:hAnsiTheme="majorEastAsia" w:eastAsiaTheme="majorEastAsia" w:cstheme="majorEastAsia"/>
          <w:b/>
          <w:bCs/>
          <w:color w:val="000000"/>
          <w:kern w:val="0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/>
          <w:kern w:val="0"/>
          <w:sz w:val="24"/>
          <w:szCs w:val="24"/>
        </w:rPr>
        <w:t>售后服务</w:t>
      </w:r>
    </w:p>
    <w:p w14:paraId="05B906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360" w:firstLineChars="150"/>
        <w:contextualSpacing/>
        <w:jc w:val="left"/>
        <w:textAlignment w:val="auto"/>
        <w:rPr>
          <w:rFonts w:asciiTheme="minorEastAsia" w:hAnsiTheme="minorEastAsia" w:eastAsiaTheme="minorEastAsia" w:cstheme="minorEastAsia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</w:rPr>
        <w:t>1.运维响应时间：工作时间运维响应在</w:t>
      </w:r>
      <w:r>
        <w:rPr>
          <w:rFonts w:asciiTheme="minorEastAsia" w:hAnsiTheme="minorEastAsia" w:eastAsiaTheme="minorEastAsia" w:cstheme="minorEastAsia"/>
          <w:color w:val="000000"/>
          <w:kern w:val="0"/>
          <w:sz w:val="24"/>
          <w:szCs w:val="24"/>
        </w:rPr>
        <w:t>2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</w:rPr>
        <w:t>小时以内，非工作时间在</w:t>
      </w:r>
      <w:r>
        <w:rPr>
          <w:rFonts w:asciiTheme="minorEastAsia" w:hAnsiTheme="minorEastAsia" w:eastAsiaTheme="minorEastAsia" w:cstheme="minorEastAsia"/>
          <w:color w:val="000000"/>
          <w:kern w:val="0"/>
          <w:sz w:val="24"/>
          <w:szCs w:val="24"/>
        </w:rPr>
        <w:t>4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</w:rPr>
        <w:t>小时以内；若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  <w:lang w:eastAsia="zh-CN"/>
        </w:rPr>
        <w:t>远程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</w:rPr>
        <w:t>无法解决，工程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  <w:lang w:eastAsia="zh-CN"/>
        </w:rPr>
        <w:t>师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</w:rPr>
        <w:t>6小时内到达现场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</w:rPr>
        <w:t>当日解决问题；</w:t>
      </w:r>
    </w:p>
    <w:p w14:paraId="1E7B06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textAlignment w:val="auto"/>
        <w:rPr>
          <w:rFonts w:asciiTheme="minorEastAsia" w:hAnsiTheme="minorEastAsia" w:eastAsiaTheme="minorEastAsia" w:cstheme="minorEastAsia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</w:rPr>
        <w:t>2.技术支持与售后服务，不额外收取费用。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  <w:lang w:eastAsia="zh-CN"/>
        </w:rPr>
        <w:t>项目结束后，甲方拥有数字化病案与质控管理系统等软件的使用权，乙方对数字化病案、质控管理系统等软件提供与合同期同质化的后五年免费维护及终身</w:t>
      </w:r>
      <w:r>
        <w:rPr>
          <w:rFonts w:hint="eastAsia" w:asciiTheme="minorEastAsia" w:hAnsiTheme="minorEastAsia" w:eastAsiaTheme="minorEastAsia" w:cstheme="minorEastAsia"/>
          <w:color w:val="000000"/>
          <w:kern w:val="0"/>
          <w:sz w:val="24"/>
          <w:szCs w:val="24"/>
        </w:rPr>
        <w:t>免费升级服务。</w:t>
      </w:r>
    </w:p>
    <w:p w14:paraId="0C049179">
      <w:pPr>
        <w:rPr>
          <w:sz w:val="24"/>
          <w:szCs w:val="24"/>
        </w:rPr>
      </w:pPr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AF0DA7"/>
    <w:multiLevelType w:val="singleLevel"/>
    <w:tmpl w:val="E9AF0DA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1F32685A"/>
    <w:multiLevelType w:val="multilevel"/>
    <w:tmpl w:val="1F32685A"/>
    <w:lvl w:ilvl="0" w:tentative="0">
      <w:start w:val="1"/>
      <w:numFmt w:val="decimal"/>
      <w:pStyle w:val="22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3">
    <w:nsid w:val="667F6E72"/>
    <w:multiLevelType w:val="singleLevel"/>
    <w:tmpl w:val="667F6E7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C747071"/>
    <w:rsid w:val="1D532009"/>
    <w:rsid w:val="1E126711"/>
    <w:rsid w:val="1F736570"/>
    <w:rsid w:val="1F97749C"/>
    <w:rsid w:val="1FBE772B"/>
    <w:rsid w:val="206C2341"/>
    <w:rsid w:val="21AC3DB3"/>
    <w:rsid w:val="221C5952"/>
    <w:rsid w:val="251D54C7"/>
    <w:rsid w:val="27B468BB"/>
    <w:rsid w:val="28FB6912"/>
    <w:rsid w:val="293715E5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6ED530F"/>
    <w:rsid w:val="397A79F8"/>
    <w:rsid w:val="3AD35612"/>
    <w:rsid w:val="3C264863"/>
    <w:rsid w:val="3C6908E7"/>
    <w:rsid w:val="3CDF1E8E"/>
    <w:rsid w:val="3DCC1CEF"/>
    <w:rsid w:val="3E9D5936"/>
    <w:rsid w:val="3EBE6087"/>
    <w:rsid w:val="40CE4C5A"/>
    <w:rsid w:val="41AE2E46"/>
    <w:rsid w:val="42F308B1"/>
    <w:rsid w:val="43CA7ECB"/>
    <w:rsid w:val="457E74C5"/>
    <w:rsid w:val="469031CB"/>
    <w:rsid w:val="47173184"/>
    <w:rsid w:val="486E604D"/>
    <w:rsid w:val="491A0EBA"/>
    <w:rsid w:val="4DB03590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34A17BF"/>
    <w:rsid w:val="63C05E4E"/>
    <w:rsid w:val="64104F27"/>
    <w:rsid w:val="64842452"/>
    <w:rsid w:val="652135E5"/>
    <w:rsid w:val="666C6A4D"/>
    <w:rsid w:val="67892A30"/>
    <w:rsid w:val="678C42CF"/>
    <w:rsid w:val="69EC6364"/>
    <w:rsid w:val="6B126E3A"/>
    <w:rsid w:val="6B880FF7"/>
    <w:rsid w:val="6C6B28EF"/>
    <w:rsid w:val="6FAA5C3A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unhideWhenUsed/>
    <w:qFormat/>
    <w:uiPriority w:val="99"/>
    <w:pPr>
      <w:spacing w:after="120"/>
    </w:pPr>
  </w:style>
  <w:style w:type="paragraph" w:styleId="12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toc 1"/>
    <w:basedOn w:val="1"/>
    <w:next w:val="1"/>
    <w:unhideWhenUsed/>
    <w:qFormat/>
    <w:uiPriority w:val="1"/>
  </w:style>
  <w:style w:type="paragraph" w:styleId="1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6">
    <w:name w:val="Normal (Web)"/>
    <w:basedOn w:val="1"/>
    <w:qFormat/>
    <w:uiPriority w:val="0"/>
    <w:rPr>
      <w:sz w:val="24"/>
    </w:rPr>
  </w:style>
  <w:style w:type="table" w:styleId="18">
    <w:name w:val="Table Grid"/>
    <w:basedOn w:val="17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20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1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2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3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24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2</Pages>
  <Words>3192</Words>
  <Characters>3342</Characters>
  <Lines>0</Lines>
  <Paragraphs>0</Paragraphs>
  <TotalTime>0</TotalTime>
  <ScaleCrop>false</ScaleCrop>
  <LinksUpToDate>false</LinksUpToDate>
  <CharactersWithSpaces>3347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2025-11-11T00:51:50Z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