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F19F45">
      <w:pPr>
        <w:ind w:firstLine="723" w:firstLineChars="200"/>
        <w:rPr>
          <w:rFonts w:hint="eastAsia" w:cs="宋体"/>
          <w:b/>
          <w:bCs/>
          <w:color w:val="auto"/>
          <w:sz w:val="36"/>
          <w:szCs w:val="36"/>
          <w:lang w:val="en-US" w:eastAsia="zh-CN"/>
        </w:rPr>
      </w:pPr>
      <w:r>
        <w:rPr>
          <w:rFonts w:hint="eastAsia" w:cs="宋体"/>
          <w:b/>
          <w:bCs/>
          <w:color w:val="auto"/>
          <w:sz w:val="36"/>
          <w:szCs w:val="36"/>
          <w:lang w:val="en-US" w:eastAsia="zh-CN"/>
        </w:rPr>
        <w:t>天门一医主院区核心机房、容灾机房、网络设备</w:t>
      </w:r>
    </w:p>
    <w:p w14:paraId="1C34DBAD">
      <w:pPr>
        <w:ind w:firstLine="2530" w:firstLineChars="700"/>
        <w:rPr>
          <w:rFonts w:hint="default"/>
          <w:b/>
          <w:bCs/>
          <w:color w:val="auto"/>
          <w:lang w:val="en-US" w:eastAsia="zh-CN"/>
        </w:rPr>
      </w:pPr>
      <w:r>
        <w:rPr>
          <w:rFonts w:hint="eastAsia" w:cs="宋体"/>
          <w:b/>
          <w:bCs/>
          <w:color w:val="auto"/>
          <w:sz w:val="36"/>
          <w:szCs w:val="36"/>
          <w:lang w:val="en-US" w:eastAsia="zh-CN"/>
        </w:rPr>
        <w:t>运维服务采购需求</w:t>
      </w:r>
    </w:p>
    <w:p w14:paraId="5817334C">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color w:val="auto"/>
          <w:sz w:val="28"/>
          <w:szCs w:val="28"/>
        </w:rPr>
      </w:pPr>
      <w:r>
        <w:rPr>
          <w:color w:val="auto"/>
          <w:sz w:val="28"/>
          <w:szCs w:val="28"/>
        </w:rPr>
        <w:t>总则</w:t>
      </w:r>
    </w:p>
    <w:p w14:paraId="1958BE08">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5" w:leftChars="0" w:right="0" w:rightChars="0" w:hanging="425" w:firstLineChars="0"/>
        <w:jc w:val="left"/>
        <w:rPr>
          <w:color w:val="auto"/>
          <w:sz w:val="24"/>
          <w:szCs w:val="24"/>
        </w:rPr>
      </w:pPr>
      <w:r>
        <w:rPr>
          <w:rStyle w:val="21"/>
          <w:rFonts w:hint="eastAsia" w:ascii="Times New Roman" w:hAnsi="Times New Roman" w:eastAsia="宋体" w:cs="Times New Roman"/>
          <w:b/>
          <w:bCs/>
          <w:color w:val="auto"/>
          <w:sz w:val="24"/>
          <w:szCs w:val="24"/>
          <w:lang w:val="en-US" w:eastAsia="zh-CN"/>
        </w:rPr>
        <w:t>项目概况：</w:t>
      </w:r>
      <w:r>
        <w:rPr>
          <w:rFonts w:hint="eastAsia"/>
          <w:color w:val="auto"/>
          <w:sz w:val="24"/>
          <w:szCs w:val="24"/>
        </w:rPr>
        <w:t>天门市第一人民医院</w:t>
      </w:r>
      <w:r>
        <w:rPr>
          <w:rFonts w:hint="eastAsia"/>
          <w:color w:val="auto"/>
          <w:sz w:val="24"/>
          <w:szCs w:val="24"/>
          <w:lang w:val="en-US" w:eastAsia="zh-CN"/>
        </w:rPr>
        <w:t>全院网络系统</w:t>
      </w:r>
      <w:r>
        <w:rPr>
          <w:rFonts w:hint="eastAsia"/>
          <w:color w:val="auto"/>
          <w:sz w:val="24"/>
          <w:szCs w:val="24"/>
        </w:rPr>
        <w:t>已投入运营多年，经过不间断运行，其中部分硬件设备质保期已满，并且随着业务的发展对</w:t>
      </w:r>
      <w:r>
        <w:rPr>
          <w:color w:val="auto"/>
          <w:sz w:val="24"/>
          <w:szCs w:val="24"/>
        </w:rPr>
        <w:t xml:space="preserve"> IT </w:t>
      </w:r>
      <w:r>
        <w:rPr>
          <w:rFonts w:hint="eastAsia"/>
          <w:color w:val="auto"/>
          <w:sz w:val="24"/>
          <w:szCs w:val="24"/>
        </w:rPr>
        <w:t>系统的依存度越来越高，为确保各类硬件设备以及支撑软件能够继续满足重要信息系统的稳定运行，需要持续对机房内相关硬件设备和支撑软件开展日常维护和保障服务。</w:t>
      </w:r>
    </w:p>
    <w:p w14:paraId="4598C1D7">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5" w:leftChars="0" w:right="0" w:rightChars="0" w:hanging="425" w:firstLineChars="0"/>
        <w:jc w:val="left"/>
        <w:rPr>
          <w:color w:val="auto"/>
          <w:sz w:val="24"/>
          <w:szCs w:val="24"/>
        </w:rPr>
      </w:pPr>
      <w:r>
        <w:rPr>
          <w:rStyle w:val="21"/>
          <w:b/>
          <w:bCs/>
          <w:color w:val="auto"/>
          <w:sz w:val="24"/>
          <w:szCs w:val="24"/>
        </w:rPr>
        <w:t>服务范围</w:t>
      </w:r>
      <w:r>
        <w:rPr>
          <w:color w:val="auto"/>
          <w:sz w:val="24"/>
          <w:szCs w:val="24"/>
        </w:rPr>
        <w:t>：覆盖清单内所有网络设备（含核心交换机、汇聚交换机、接入交换机、</w:t>
      </w:r>
      <w:r>
        <w:rPr>
          <w:rFonts w:hint="eastAsia"/>
          <w:color w:val="auto"/>
          <w:sz w:val="24"/>
          <w:szCs w:val="24"/>
          <w:lang w:val="en-US" w:eastAsia="zh-CN"/>
        </w:rPr>
        <w:t>无线</w:t>
      </w:r>
      <w:r>
        <w:rPr>
          <w:rFonts w:hint="eastAsia"/>
          <w:color w:val="auto"/>
          <w:sz w:val="24"/>
          <w:szCs w:val="24"/>
        </w:rPr>
        <w:t>AC</w:t>
      </w:r>
      <w:r>
        <w:rPr>
          <w:color w:val="auto"/>
          <w:sz w:val="24"/>
          <w:szCs w:val="24"/>
        </w:rPr>
        <w:t>、</w:t>
      </w:r>
      <w:r>
        <w:rPr>
          <w:rFonts w:hint="eastAsia"/>
          <w:color w:val="auto"/>
          <w:sz w:val="24"/>
          <w:szCs w:val="24"/>
          <w:lang w:val="en-US" w:eastAsia="zh-CN"/>
        </w:rPr>
        <w:t>AP</w:t>
      </w:r>
      <w:r>
        <w:rPr>
          <w:color w:val="auto"/>
          <w:sz w:val="24"/>
          <w:szCs w:val="24"/>
        </w:rPr>
        <w:t>、</w:t>
      </w:r>
      <w:r>
        <w:rPr>
          <w:rFonts w:hint="eastAsia"/>
          <w:color w:val="auto"/>
          <w:sz w:val="24"/>
          <w:szCs w:val="24"/>
          <w:lang w:val="en-US" w:eastAsia="zh-CN"/>
        </w:rPr>
        <w:t>UPS</w:t>
      </w:r>
      <w:r>
        <w:rPr>
          <w:color w:val="auto"/>
          <w:sz w:val="24"/>
          <w:szCs w:val="24"/>
        </w:rPr>
        <w:t>、</w:t>
      </w:r>
      <w:r>
        <w:rPr>
          <w:rFonts w:hint="eastAsia"/>
          <w:color w:val="auto"/>
          <w:sz w:val="24"/>
          <w:szCs w:val="24"/>
          <w:lang w:val="en-US" w:eastAsia="zh-CN"/>
        </w:rPr>
        <w:t>精密空调</w:t>
      </w:r>
      <w:r>
        <w:rPr>
          <w:color w:val="auto"/>
          <w:sz w:val="24"/>
          <w:szCs w:val="24"/>
        </w:rPr>
        <w:t>等，具体以采购文件附件《设备清单》为准）的全生命周期运维服务。</w:t>
      </w:r>
    </w:p>
    <w:p w14:paraId="5CE92D07">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5" w:leftChars="0" w:right="0" w:rightChars="0" w:hanging="425" w:firstLineChars="0"/>
        <w:jc w:val="left"/>
        <w:rPr>
          <w:color w:val="auto"/>
          <w:sz w:val="24"/>
          <w:szCs w:val="24"/>
        </w:rPr>
      </w:pPr>
      <w:r>
        <w:rPr>
          <w:rStyle w:val="21"/>
          <w:b/>
          <w:bCs/>
          <w:color w:val="auto"/>
          <w:sz w:val="24"/>
          <w:szCs w:val="24"/>
        </w:rPr>
        <w:t>服务目标</w:t>
      </w:r>
      <w:r>
        <w:rPr>
          <w:color w:val="auto"/>
          <w:sz w:val="24"/>
          <w:szCs w:val="24"/>
        </w:rPr>
        <w:t>：保障医院核心业务网络（HIS、LIS、PACS、电子病历、门诊 / 住院系统等）无</w:t>
      </w:r>
      <w:r>
        <w:rPr>
          <w:rFonts w:hint="eastAsia"/>
          <w:color w:val="auto"/>
          <w:sz w:val="24"/>
          <w:szCs w:val="24"/>
          <w:lang w:val="en-US" w:eastAsia="zh-CN"/>
        </w:rPr>
        <w:t>非</w:t>
      </w:r>
      <w:r>
        <w:rPr>
          <w:color w:val="auto"/>
          <w:sz w:val="24"/>
          <w:szCs w:val="24"/>
        </w:rPr>
        <w:t>计划性中断</w:t>
      </w:r>
      <w:r>
        <w:rPr>
          <w:rFonts w:hint="eastAsia"/>
          <w:color w:val="auto"/>
          <w:sz w:val="24"/>
          <w:szCs w:val="24"/>
          <w:lang w:eastAsia="zh-CN"/>
        </w:rPr>
        <w:t>。</w:t>
      </w:r>
    </w:p>
    <w:p w14:paraId="62FE1A48">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5" w:leftChars="0" w:right="0" w:rightChars="0" w:hanging="425" w:firstLineChars="0"/>
        <w:jc w:val="left"/>
        <w:rPr>
          <w:color w:val="auto"/>
          <w:sz w:val="24"/>
          <w:szCs w:val="24"/>
        </w:rPr>
      </w:pPr>
      <w:r>
        <w:rPr>
          <w:rStyle w:val="21"/>
          <w:rFonts w:ascii="Times New Roman" w:hAnsi="Times New Roman" w:eastAsia="宋体" w:cs="Times New Roman"/>
          <w:b/>
          <w:bCs/>
          <w:color w:val="auto"/>
          <w:sz w:val="24"/>
          <w:szCs w:val="24"/>
        </w:rPr>
        <w:t>服务</w:t>
      </w:r>
      <w:r>
        <w:rPr>
          <w:rStyle w:val="21"/>
          <w:b/>
          <w:bCs/>
          <w:color w:val="auto"/>
          <w:sz w:val="24"/>
          <w:szCs w:val="24"/>
        </w:rPr>
        <w:t>周期</w:t>
      </w:r>
      <w:r>
        <w:rPr>
          <w:color w:val="auto"/>
          <w:sz w:val="24"/>
          <w:szCs w:val="24"/>
        </w:rPr>
        <w:t>：服务时间为 7×24 小时（含法定节假日、夜间）。</w:t>
      </w:r>
    </w:p>
    <w:p w14:paraId="427670E1">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5" w:leftChars="0" w:right="0" w:rightChars="0" w:hanging="425" w:firstLineChars="0"/>
        <w:jc w:val="left"/>
        <w:rPr>
          <w:color w:val="auto"/>
          <w:sz w:val="24"/>
          <w:szCs w:val="24"/>
        </w:rPr>
      </w:pPr>
      <w:r>
        <w:rPr>
          <w:rStyle w:val="21"/>
          <w:rFonts w:hint="eastAsia" w:ascii="Times New Roman" w:hAnsi="Times New Roman" w:eastAsia="宋体" w:cs="Times New Roman"/>
          <w:b/>
          <w:bCs/>
          <w:color w:val="auto"/>
          <w:sz w:val="24"/>
          <w:szCs w:val="24"/>
          <w:lang w:val="en-US" w:eastAsia="zh-CN"/>
        </w:rPr>
        <w:t>报价要求</w:t>
      </w:r>
      <w:r>
        <w:rPr>
          <w:rStyle w:val="21"/>
          <w:rFonts w:hint="eastAsia" w:ascii="Times New Roman" w:hAnsi="Times New Roman" w:eastAsia="宋体" w:cs="Times New Roman"/>
          <w:b/>
          <w:bCs/>
          <w:color w:val="auto"/>
          <w:sz w:val="24"/>
          <w:szCs w:val="24"/>
          <w:lang w:eastAsia="zh-CN"/>
        </w:rPr>
        <w:t>：</w:t>
      </w:r>
      <w:r>
        <w:rPr>
          <w:rFonts w:hint="eastAsia"/>
          <w:color w:val="auto"/>
          <w:sz w:val="24"/>
          <w:szCs w:val="24"/>
        </w:rPr>
        <w:t>供应商的最终报价为结算价格，包括所有费用，采购人不再支付其它任何费用。</w:t>
      </w:r>
    </w:p>
    <w:p w14:paraId="080BDC12">
      <w:pPr>
        <w:spacing w:line="360" w:lineRule="auto"/>
        <w:rPr>
          <w:rFonts w:hint="default"/>
          <w:color w:val="auto"/>
          <w:sz w:val="24"/>
          <w:szCs w:val="24"/>
          <w:lang w:val="en-US" w:eastAsia="zh-CN"/>
        </w:rPr>
      </w:pPr>
    </w:p>
    <w:p w14:paraId="2CC5A34F">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ascii="宋体" w:hAnsi="宋体" w:eastAsia="宋体" w:cs="宋体"/>
          <w:color w:val="auto"/>
          <w:sz w:val="28"/>
          <w:szCs w:val="28"/>
        </w:rPr>
      </w:pPr>
      <w:r>
        <w:rPr>
          <w:rFonts w:ascii="宋体" w:hAnsi="宋体" w:eastAsia="宋体" w:cs="宋体"/>
          <w:color w:val="auto"/>
          <w:sz w:val="28"/>
          <w:szCs w:val="28"/>
        </w:rPr>
        <w:t>核心运维服务内容</w:t>
      </w:r>
    </w:p>
    <w:p w14:paraId="4D0E2E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16"/>
          <w:szCs w:val="16"/>
        </w:rPr>
        <w:t>1.</w:t>
      </w:r>
      <w:r>
        <w:rPr>
          <w:color w:val="auto"/>
          <w:sz w:val="24"/>
          <w:szCs w:val="24"/>
        </w:rPr>
        <w:t xml:space="preserve"> 日常巡检服务</w:t>
      </w:r>
    </w:p>
    <w:p w14:paraId="3A9540F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巡检频率</w:t>
      </w:r>
      <w:r>
        <w:rPr>
          <w:color w:val="auto"/>
          <w:sz w:val="24"/>
          <w:szCs w:val="24"/>
        </w:rPr>
        <w:t>：《设备清单》设备每月≥</w:t>
      </w:r>
      <w:r>
        <w:rPr>
          <w:rFonts w:hint="eastAsia"/>
          <w:color w:val="auto"/>
          <w:sz w:val="24"/>
          <w:szCs w:val="24"/>
          <w:lang w:val="en-US" w:eastAsia="zh-CN"/>
        </w:rPr>
        <w:t>1</w:t>
      </w:r>
      <w:r>
        <w:rPr>
          <w:color w:val="auto"/>
          <w:sz w:val="24"/>
          <w:szCs w:val="24"/>
        </w:rPr>
        <w:t>次现场巡检</w:t>
      </w:r>
      <w:r>
        <w:rPr>
          <w:rFonts w:hint="eastAsia"/>
          <w:color w:val="auto"/>
          <w:sz w:val="24"/>
          <w:szCs w:val="24"/>
          <w:lang w:eastAsia="zh-CN"/>
        </w:rPr>
        <w:t>。</w:t>
      </w:r>
    </w:p>
    <w:p w14:paraId="2179BB0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巡检内容</w:t>
      </w:r>
      <w:r>
        <w:rPr>
          <w:color w:val="auto"/>
          <w:sz w:val="24"/>
          <w:szCs w:val="24"/>
        </w:rPr>
        <w:t>：</w:t>
      </w:r>
    </w:p>
    <w:p w14:paraId="4DE6C673">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设备硬件状态：电源、风扇、端口指示灯、模块连接稳定性，排查硬件告警与潜在故障。</w:t>
      </w:r>
    </w:p>
    <w:p w14:paraId="7FDB0154">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系统运行状态：CPU / 内存使用率（阈值≤70%）、端口带宽利用率（峰值≤80%）、日志异常信息、配置文件完整性。</w:t>
      </w:r>
    </w:p>
    <w:p w14:paraId="5482D46A">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网络性能指标：核心链路时延（≤1ms）、丢包率（≤0.1%）。</w:t>
      </w:r>
    </w:p>
    <w:p w14:paraId="3CA0F4B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交付物</w:t>
      </w:r>
      <w:r>
        <w:rPr>
          <w:color w:val="auto"/>
          <w:sz w:val="24"/>
          <w:szCs w:val="24"/>
        </w:rPr>
        <w:t>：每次巡检后</w:t>
      </w:r>
      <w:r>
        <w:rPr>
          <w:rFonts w:hint="eastAsia"/>
          <w:color w:val="auto"/>
          <w:sz w:val="24"/>
          <w:szCs w:val="24"/>
          <w:lang w:val="en-US" w:eastAsia="zh-CN"/>
        </w:rPr>
        <w:t>5</w:t>
      </w:r>
      <w:r>
        <w:rPr>
          <w:color w:val="auto"/>
          <w:sz w:val="24"/>
          <w:szCs w:val="24"/>
        </w:rPr>
        <w:t>个工作日内提交《设备巡检报告》，含问题清单、整改建议及风险预警。</w:t>
      </w:r>
    </w:p>
    <w:p w14:paraId="20791F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2. 故障诊断与修复服务</w:t>
      </w:r>
    </w:p>
    <w:p w14:paraId="581A6B0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响应时效</w:t>
      </w:r>
      <w:r>
        <w:rPr>
          <w:color w:val="auto"/>
          <w:sz w:val="24"/>
          <w:szCs w:val="24"/>
        </w:rPr>
        <w:t>：</w:t>
      </w:r>
    </w:p>
    <w:p w14:paraId="3BD94B44">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一级故障（核心设备宕机、网络中断）：</w:t>
      </w:r>
      <w:r>
        <w:rPr>
          <w:rFonts w:hint="eastAsia"/>
          <w:color w:val="auto"/>
          <w:sz w:val="24"/>
          <w:szCs w:val="24"/>
          <w:lang w:val="en-US" w:eastAsia="zh-CN"/>
        </w:rPr>
        <w:t>10</w:t>
      </w:r>
      <w:r>
        <w:rPr>
          <w:color w:val="auto"/>
          <w:sz w:val="24"/>
          <w:szCs w:val="24"/>
        </w:rPr>
        <w:t>分钟内远程响应，2 小时内现场抵达（天门市城区范围内），</w:t>
      </w:r>
      <w:r>
        <w:rPr>
          <w:rFonts w:hint="eastAsia"/>
          <w:color w:val="auto"/>
          <w:sz w:val="24"/>
          <w:szCs w:val="24"/>
          <w:lang w:val="en-US" w:eastAsia="zh-CN"/>
        </w:rPr>
        <w:t>2</w:t>
      </w:r>
      <w:r>
        <w:rPr>
          <w:color w:val="auto"/>
          <w:sz w:val="24"/>
          <w:szCs w:val="24"/>
        </w:rPr>
        <w:t xml:space="preserve"> 小时内完成修复或提供备用设备。</w:t>
      </w:r>
    </w:p>
    <w:p w14:paraId="3D7F96C7">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二级故障（非核心设备故障、局部网络卡顿）：</w:t>
      </w:r>
      <w:r>
        <w:rPr>
          <w:rFonts w:hint="eastAsia"/>
          <w:color w:val="auto"/>
          <w:sz w:val="24"/>
          <w:szCs w:val="24"/>
          <w:lang w:val="en-US" w:eastAsia="zh-CN"/>
        </w:rPr>
        <w:t>10</w:t>
      </w:r>
      <w:r>
        <w:rPr>
          <w:color w:val="auto"/>
          <w:sz w:val="24"/>
          <w:szCs w:val="24"/>
        </w:rPr>
        <w:t>分钟内远程响应，4 小时内现场抵达，8 小时内完成修复。</w:t>
      </w:r>
    </w:p>
    <w:p w14:paraId="3BD1D928">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三级故障（轻微告警、性能优化）：</w:t>
      </w:r>
      <w:r>
        <w:rPr>
          <w:rFonts w:hint="eastAsia"/>
          <w:color w:val="auto"/>
          <w:sz w:val="24"/>
          <w:szCs w:val="24"/>
          <w:lang w:val="en-US" w:eastAsia="zh-CN"/>
        </w:rPr>
        <w:t>10分钟</w:t>
      </w:r>
      <w:r>
        <w:rPr>
          <w:color w:val="auto"/>
          <w:sz w:val="24"/>
          <w:szCs w:val="24"/>
        </w:rPr>
        <w:t>内远程响应，24小时内完成处理。</w:t>
      </w:r>
    </w:p>
    <w:p w14:paraId="63A7DB9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修复要求</w:t>
      </w:r>
      <w:r>
        <w:rPr>
          <w:color w:val="auto"/>
          <w:sz w:val="24"/>
          <w:szCs w:val="24"/>
        </w:rPr>
        <w:t>：硬件故障优先采用原厂备件更换（与原设备型号、参数一致）；软件故障需提供配置备份与回滚方案，避免数据丢失。</w:t>
      </w:r>
    </w:p>
    <w:p w14:paraId="2EA02C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3. 配置管理与优化服务</w:t>
      </w:r>
    </w:p>
    <w:p w14:paraId="456F8C6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配置备份</w:t>
      </w:r>
      <w:r>
        <w:rPr>
          <w:color w:val="auto"/>
          <w:sz w:val="24"/>
          <w:szCs w:val="24"/>
        </w:rPr>
        <w:t>：核心设备配置文件每日自动备份，每月 1 次异地存储；重大变更前（如版本升级、策略调整）需提交《配置变更方案》并经医院确认。</w:t>
      </w:r>
    </w:p>
    <w:p w14:paraId="2CF9B61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性能优化</w:t>
      </w:r>
      <w:r>
        <w:rPr>
          <w:color w:val="auto"/>
          <w:sz w:val="24"/>
          <w:szCs w:val="24"/>
        </w:rPr>
        <w:t>：每半年对网络带宽、路由策略、负载均衡算法、防火墙规则进行 1 次优化，降低网络延迟与丢包率，保障 HIS/LIS/PACS 系统传输效率。</w:t>
      </w:r>
    </w:p>
    <w:p w14:paraId="2184F17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版本管理</w:t>
      </w:r>
      <w:r>
        <w:rPr>
          <w:color w:val="auto"/>
          <w:sz w:val="24"/>
          <w:szCs w:val="24"/>
        </w:rPr>
        <w:t>：根据设备厂商官方推送，及时提供固件 / 系统版本升级服务（需提前 3 个工作日提交升级方案，避开医院业务高峰时段）。</w:t>
      </w:r>
    </w:p>
    <w:p w14:paraId="64F7921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4. 安全防护服务</w:t>
      </w:r>
    </w:p>
    <w:p w14:paraId="38B36D6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漏洞管理</w:t>
      </w:r>
      <w:r>
        <w:rPr>
          <w:color w:val="auto"/>
          <w:sz w:val="24"/>
          <w:szCs w:val="24"/>
        </w:rPr>
        <w:t>：每</w:t>
      </w:r>
      <w:r>
        <w:rPr>
          <w:rFonts w:hint="eastAsia"/>
          <w:color w:val="auto"/>
          <w:sz w:val="24"/>
          <w:szCs w:val="24"/>
          <w:lang w:val="en-US" w:eastAsia="zh-CN"/>
        </w:rPr>
        <w:t>月</w:t>
      </w:r>
      <w:r>
        <w:rPr>
          <w:color w:val="auto"/>
          <w:sz w:val="24"/>
          <w:szCs w:val="24"/>
        </w:rPr>
        <w:t>对网络设备进行 1 次安全漏洞扫描，配合医院完成等保测评（≥三级）相关整改，确保设备符合《网络安全法》要求。</w:t>
      </w:r>
    </w:p>
    <w:p w14:paraId="26F3822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日志审计</w:t>
      </w:r>
      <w:r>
        <w:rPr>
          <w:color w:val="auto"/>
          <w:sz w:val="24"/>
          <w:szCs w:val="24"/>
        </w:rPr>
        <w:t>：每月分析核心设备（防火墙、负载均衡）安全日志，识别异常访问、DDoS 攻击等风险，提交《安全审计报告》并提供防护建议。</w:t>
      </w:r>
    </w:p>
    <w:p w14:paraId="6446FB9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应急响应</w:t>
      </w:r>
      <w:r>
        <w:rPr>
          <w:color w:val="auto"/>
          <w:sz w:val="24"/>
          <w:szCs w:val="24"/>
        </w:rPr>
        <w:t>：网络安全事件发生后，协助医院阻断攻击</w:t>
      </w:r>
      <w:r>
        <w:rPr>
          <w:rFonts w:hint="eastAsia"/>
          <w:color w:val="auto"/>
          <w:sz w:val="24"/>
          <w:szCs w:val="24"/>
          <w:lang w:val="en-US" w:eastAsia="zh-CN"/>
        </w:rPr>
        <w:t>及</w:t>
      </w:r>
      <w:r>
        <w:rPr>
          <w:color w:val="auto"/>
          <w:sz w:val="24"/>
          <w:szCs w:val="24"/>
        </w:rPr>
        <w:t>恢复系统，并 24 小时内提交《事件分析报告》。</w:t>
      </w:r>
    </w:p>
    <w:p w14:paraId="13EA73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5. 培训与技术支持服务</w:t>
      </w:r>
    </w:p>
    <w:p w14:paraId="30CB5AB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人员培训</w:t>
      </w:r>
      <w:r>
        <w:rPr>
          <w:color w:val="auto"/>
          <w:sz w:val="24"/>
          <w:szCs w:val="24"/>
        </w:rPr>
        <w:t>：每年为医院运维人员提供≥2 次技术培训（含设备操作、故障排查、应急处理），培训形式可采用现场或线上，每次培训时长≥4 小时。</w:t>
      </w:r>
    </w:p>
    <w:p w14:paraId="4FA1440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技术咨询</w:t>
      </w:r>
      <w:r>
        <w:rPr>
          <w:color w:val="auto"/>
          <w:sz w:val="24"/>
          <w:szCs w:val="24"/>
        </w:rPr>
        <w:t>：提供 7×24 小时远程技术咨询服务，响应方式含电话、邮件、远程协助，确保医院运维人员随时获取支持。</w:t>
      </w:r>
    </w:p>
    <w:p w14:paraId="3954A44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三、服务保障要求</w:t>
      </w:r>
    </w:p>
    <w:p w14:paraId="431164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1. 备件保障</w:t>
      </w:r>
    </w:p>
    <w:p w14:paraId="339C175A">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投标人需设立备件库，确保核心设备（核心交换机、</w:t>
      </w:r>
      <w:r>
        <w:rPr>
          <w:rFonts w:hint="eastAsia"/>
          <w:color w:val="auto"/>
          <w:sz w:val="24"/>
          <w:szCs w:val="24"/>
          <w:lang w:val="en-US" w:eastAsia="zh-CN"/>
        </w:rPr>
        <w:t>汇聚交换机</w:t>
      </w:r>
      <w:r>
        <w:rPr>
          <w:color w:val="auto"/>
          <w:sz w:val="24"/>
          <w:szCs w:val="24"/>
        </w:rPr>
        <w:t>）关键备件（电源、风扇、模块</w:t>
      </w:r>
      <w:r>
        <w:rPr>
          <w:rFonts w:hint="eastAsia"/>
          <w:color w:val="auto"/>
          <w:sz w:val="24"/>
          <w:szCs w:val="24"/>
          <w:lang w:val="en-US" w:eastAsia="zh-CN"/>
        </w:rPr>
        <w:t>等</w:t>
      </w:r>
      <w:r>
        <w:rPr>
          <w:color w:val="auto"/>
          <w:sz w:val="24"/>
          <w:szCs w:val="24"/>
        </w:rPr>
        <w:t>）</w:t>
      </w:r>
      <w:r>
        <w:rPr>
          <w:rFonts w:hint="eastAsia"/>
          <w:color w:val="auto"/>
          <w:sz w:val="24"/>
          <w:szCs w:val="24"/>
          <w:lang w:val="en-US" w:eastAsia="zh-CN"/>
        </w:rPr>
        <w:t>2</w:t>
      </w:r>
      <w:r>
        <w:rPr>
          <w:color w:val="auto"/>
          <w:sz w:val="24"/>
          <w:szCs w:val="24"/>
        </w:rPr>
        <w:t>小时内送达现场</w:t>
      </w:r>
      <w:r>
        <w:rPr>
          <w:rFonts w:hint="eastAsia"/>
          <w:color w:val="auto"/>
          <w:sz w:val="24"/>
          <w:szCs w:val="24"/>
          <w:lang w:eastAsia="zh-CN"/>
        </w:rPr>
        <w:t>，</w:t>
      </w:r>
      <w:r>
        <w:rPr>
          <w:rFonts w:hint="eastAsia"/>
          <w:color w:val="auto"/>
          <w:sz w:val="24"/>
          <w:szCs w:val="24"/>
          <w:lang w:val="en-US" w:eastAsia="zh-CN"/>
        </w:rPr>
        <w:t>按医院要求在项目现场提供常备设备。</w:t>
      </w:r>
    </w:p>
    <w:p w14:paraId="787B13D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备件需为原厂全新正品，与原设备型号兼容。</w:t>
      </w:r>
    </w:p>
    <w:p w14:paraId="6F8750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2. 报告交付</w:t>
      </w:r>
    </w:p>
    <w:p w14:paraId="504F6FC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定期报告：每月提交《运维服务月报》（含故障统计、巡检结果、优化建议）</w:t>
      </w:r>
      <w:r>
        <w:rPr>
          <w:rFonts w:hint="eastAsia"/>
          <w:color w:val="auto"/>
          <w:sz w:val="24"/>
          <w:szCs w:val="24"/>
          <w:lang w:eastAsia="zh-CN"/>
        </w:rPr>
        <w:t>，</w:t>
      </w:r>
      <w:r>
        <w:rPr>
          <w:rFonts w:hint="eastAsia"/>
          <w:color w:val="auto"/>
          <w:sz w:val="24"/>
          <w:szCs w:val="24"/>
          <w:lang w:val="en-US" w:eastAsia="zh-CN"/>
        </w:rPr>
        <w:t>每季度提交季度运维小结，每年提交年度运维总结分析报告</w:t>
      </w:r>
      <w:r>
        <w:rPr>
          <w:color w:val="auto"/>
          <w:sz w:val="24"/>
          <w:szCs w:val="24"/>
        </w:rPr>
        <w:t>。</w:t>
      </w:r>
    </w:p>
    <w:p w14:paraId="262BB84B">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leftChars="0" w:right="0" w:rightChars="0" w:hanging="420" w:firstLineChars="0"/>
        <w:jc w:val="left"/>
        <w:rPr>
          <w:color w:val="auto"/>
          <w:sz w:val="24"/>
          <w:szCs w:val="24"/>
        </w:rPr>
      </w:pPr>
      <w:r>
        <w:rPr>
          <w:color w:val="auto"/>
          <w:sz w:val="24"/>
          <w:szCs w:val="24"/>
        </w:rPr>
        <w:t>专项报告：故障修复后 24 小时内提交《故障处理报告》；重大变更后 3 个工作日内提交《变更验收报告》；安全事件后提交《应急处理报告》。</w:t>
      </w:r>
    </w:p>
    <w:p w14:paraId="7C7F0A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3. 合规要求</w:t>
      </w:r>
    </w:p>
    <w:p w14:paraId="206568A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r>
        <w:rPr>
          <w:color w:val="auto"/>
          <w:sz w:val="24"/>
          <w:szCs w:val="24"/>
        </w:rPr>
        <w:t>服务过程需遵守医院《网络安全管理制度》《数据安全管理规范》，严禁泄露医院业务数据与患者隐私，签订保密协议。</w:t>
      </w:r>
    </w:p>
    <w:p w14:paraId="5AEFB8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四、人员要求</w:t>
      </w:r>
    </w:p>
    <w:p w14:paraId="038B8C9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rFonts w:ascii="Times New Roman" w:hAnsi="Times New Roman" w:eastAsia="宋体" w:cs="Times New Roman"/>
          <w:b/>
          <w:bCs/>
          <w:color w:val="auto"/>
          <w:sz w:val="24"/>
          <w:szCs w:val="24"/>
        </w:rPr>
        <w:t>运维工程师：</w:t>
      </w:r>
      <w:r>
        <w:rPr>
          <w:color w:val="auto"/>
          <w:sz w:val="24"/>
          <w:szCs w:val="24"/>
        </w:rPr>
        <w:t xml:space="preserve">具备 </w:t>
      </w:r>
      <w:r>
        <w:rPr>
          <w:rFonts w:hint="eastAsia"/>
          <w:color w:val="auto"/>
          <w:sz w:val="24"/>
          <w:szCs w:val="24"/>
          <w:lang w:val="en-US" w:eastAsia="zh-CN"/>
        </w:rPr>
        <w:t>5</w:t>
      </w:r>
      <w:r>
        <w:rPr>
          <w:color w:val="auto"/>
          <w:sz w:val="24"/>
          <w:szCs w:val="24"/>
        </w:rPr>
        <w:t xml:space="preserve"> 年以上网络设备运维经验，持有至少 1 项厂商中级及以上认证，确保 7×24 小时现场响应。</w:t>
      </w:r>
    </w:p>
    <w:p w14:paraId="21DADBE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人员稳定性</w:t>
      </w:r>
      <w:r>
        <w:rPr>
          <w:color w:val="auto"/>
          <w:sz w:val="24"/>
          <w:szCs w:val="24"/>
        </w:rPr>
        <w:t>：项目团队成员服务周期内</w:t>
      </w:r>
      <w:r>
        <w:rPr>
          <w:rFonts w:hint="eastAsia"/>
          <w:color w:val="auto"/>
          <w:sz w:val="24"/>
          <w:szCs w:val="24"/>
          <w:lang w:val="en-US" w:eastAsia="zh-CN"/>
        </w:rPr>
        <w:t>不得</w:t>
      </w:r>
      <w:r>
        <w:rPr>
          <w:color w:val="auto"/>
          <w:sz w:val="24"/>
          <w:szCs w:val="24"/>
        </w:rPr>
        <w:t>更换，</w:t>
      </w:r>
      <w:r>
        <w:rPr>
          <w:rFonts w:hint="eastAsia"/>
          <w:color w:val="auto"/>
          <w:sz w:val="24"/>
          <w:szCs w:val="24"/>
          <w:lang w:val="en-US" w:eastAsia="zh-CN"/>
        </w:rPr>
        <w:t>若因不可抗力因素需更换，</w:t>
      </w:r>
      <w:r>
        <w:rPr>
          <w:color w:val="auto"/>
          <w:sz w:val="24"/>
          <w:szCs w:val="24"/>
        </w:rPr>
        <w:t>更换前需提前 15 个工作日提交申请，</w:t>
      </w:r>
      <w:r>
        <w:rPr>
          <w:rFonts w:hint="eastAsia"/>
          <w:color w:val="auto"/>
          <w:sz w:val="24"/>
          <w:szCs w:val="24"/>
          <w:lang w:val="en-US" w:eastAsia="zh-CN"/>
        </w:rPr>
        <w:t>更换人员资质、经验需高于原有人员，</w:t>
      </w:r>
      <w:r>
        <w:rPr>
          <w:color w:val="auto"/>
          <w:sz w:val="24"/>
          <w:szCs w:val="24"/>
        </w:rPr>
        <w:t>经医院同意后安排交接（交接期≥7个工作日）。</w:t>
      </w:r>
    </w:p>
    <w:p w14:paraId="47CD11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color w:val="auto"/>
          <w:sz w:val="24"/>
          <w:szCs w:val="24"/>
        </w:rPr>
        <w:t>五、验收标准</w:t>
      </w:r>
    </w:p>
    <w:p w14:paraId="6C8F2E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日常运维验收</w:t>
      </w:r>
      <w:r>
        <w:rPr>
          <w:color w:val="auto"/>
          <w:sz w:val="24"/>
          <w:szCs w:val="24"/>
        </w:rPr>
        <w:t>：依据《月度巡检报告》《故障处理报告》，确认巡检完成率 100%、故障恢复及时率 100%</w:t>
      </w:r>
      <w:r>
        <w:rPr>
          <w:rFonts w:hint="eastAsia"/>
          <w:color w:val="auto"/>
          <w:sz w:val="24"/>
          <w:szCs w:val="24"/>
          <w:lang w:eastAsia="zh-CN"/>
        </w:rPr>
        <w:t>。</w:t>
      </w:r>
    </w:p>
    <w:p w14:paraId="6461E49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2" w:firstLineChars="200"/>
        <w:jc w:val="left"/>
        <w:rPr>
          <w:color w:val="auto"/>
          <w:sz w:val="24"/>
          <w:szCs w:val="24"/>
        </w:rPr>
      </w:pPr>
      <w:r>
        <w:rPr>
          <w:rStyle w:val="21"/>
          <w:b/>
          <w:bCs/>
          <w:color w:val="auto"/>
          <w:sz w:val="24"/>
          <w:szCs w:val="24"/>
        </w:rPr>
        <w:t>专项服务验收</w:t>
      </w:r>
      <w:r>
        <w:rPr>
          <w:color w:val="auto"/>
          <w:sz w:val="24"/>
          <w:szCs w:val="24"/>
        </w:rPr>
        <w:t>：版本升级、性能优化、安全整改等专项工作完成后，医院组织测试，确认网络性能达标（如时延、丢包率符合要求）、无业务中断风险。</w:t>
      </w:r>
    </w:p>
    <w:p w14:paraId="1941CE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ascii="宋体" w:hAnsi="宋体" w:eastAsia="宋体" w:cs="宋体"/>
          <w:color w:val="auto"/>
          <w:sz w:val="24"/>
          <w:szCs w:val="24"/>
        </w:rPr>
      </w:pP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重要事件的现场值守服务</w:t>
      </w:r>
    </w:p>
    <w:p w14:paraId="1698A59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rFonts w:hint="eastAsia"/>
          <w:color w:val="auto"/>
          <w:sz w:val="24"/>
          <w:szCs w:val="24"/>
        </w:rPr>
      </w:pPr>
      <w:r>
        <w:rPr>
          <w:rFonts w:hint="eastAsia"/>
          <w:color w:val="auto"/>
          <w:sz w:val="24"/>
          <w:szCs w:val="24"/>
        </w:rPr>
        <w:t>在特殊时段、敏感时期和突发事件时，供应商工程师必须按采购人的要求坚守岗位，提供应急值守服务。</w:t>
      </w:r>
      <w:r>
        <w:rPr>
          <w:rFonts w:hint="eastAsia"/>
          <w:color w:val="auto"/>
          <w:sz w:val="24"/>
          <w:szCs w:val="24"/>
          <w:lang w:val="en-US" w:eastAsia="zh-CN"/>
        </w:rPr>
        <w:t>节假日提供网络安全重保，并在3个工作日内完成安全重保报告。</w:t>
      </w:r>
      <w:r>
        <w:rPr>
          <w:rFonts w:hint="eastAsia"/>
          <w:color w:val="auto"/>
          <w:sz w:val="24"/>
          <w:szCs w:val="24"/>
        </w:rPr>
        <w:t>在发生应急事件时（包括非工作时间），供应商工程师要迅速查明事件原因，迅速应急处理，并负责联系供应商相关工程师或相关厂商在规定时间内到达现场提供服务。</w:t>
      </w:r>
    </w:p>
    <w:p w14:paraId="5F51B24C">
      <w:pPr>
        <w:pStyle w:val="3"/>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硬件维保</w:t>
      </w:r>
    </w:p>
    <w:p w14:paraId="5B682D8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rFonts w:hint="eastAsia"/>
          <w:color w:val="auto"/>
          <w:sz w:val="24"/>
          <w:szCs w:val="24"/>
        </w:rPr>
      </w:pPr>
      <w:r>
        <w:rPr>
          <w:rFonts w:hint="eastAsia"/>
          <w:color w:val="auto"/>
          <w:sz w:val="24"/>
          <w:szCs w:val="24"/>
        </w:rPr>
        <w:t>硬件设备维护服务旨在使维保范围内的硬件设备能保持或及时恢复其技术规格。</w:t>
      </w:r>
    </w:p>
    <w:p w14:paraId="00A9700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rFonts w:hint="eastAsia"/>
          <w:color w:val="auto"/>
          <w:sz w:val="24"/>
          <w:szCs w:val="24"/>
        </w:rPr>
      </w:pPr>
      <w:r>
        <w:rPr>
          <w:rFonts w:hint="eastAsia"/>
          <w:color w:val="auto"/>
          <w:sz w:val="24"/>
          <w:szCs w:val="24"/>
        </w:rPr>
        <w:t>在维保期内，由于非不当使用及非不可抗力而产生的硬件故障，由供应商负责全免费维修、更换，包括免除上门费、差旅费、往来运费、人工费、故障替换件费用；本系统内设备故障件如无法维修或维修后无法满足正常运行要求的，免费提供故障件的替代件；故障件的替代件为全免费提供</w:t>
      </w:r>
      <w:r>
        <w:rPr>
          <w:rFonts w:hint="eastAsia"/>
          <w:color w:val="auto"/>
          <w:sz w:val="24"/>
          <w:szCs w:val="24"/>
          <w:lang w:eastAsia="zh-CN"/>
        </w:rPr>
        <w:t>，</w:t>
      </w:r>
      <w:r>
        <w:rPr>
          <w:rFonts w:hint="eastAsia"/>
          <w:color w:val="auto"/>
          <w:sz w:val="24"/>
          <w:szCs w:val="24"/>
          <w:lang w:val="en-US" w:eastAsia="zh-CN"/>
        </w:rPr>
        <w:t>与设备同品牌同规格同性能参数</w:t>
      </w:r>
      <w:r>
        <w:rPr>
          <w:rFonts w:hint="eastAsia"/>
          <w:color w:val="auto"/>
          <w:sz w:val="24"/>
          <w:szCs w:val="24"/>
        </w:rPr>
        <w:t>。</w:t>
      </w:r>
    </w:p>
    <w:p w14:paraId="60887F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rFonts w:hint="eastAsia"/>
          <w:color w:val="auto"/>
          <w:sz w:val="24"/>
          <w:szCs w:val="24"/>
          <w:lang w:val="en-US" w:eastAsia="zh-CN"/>
        </w:rPr>
        <w:t>八</w:t>
      </w:r>
      <w:r>
        <w:rPr>
          <w:color w:val="auto"/>
          <w:sz w:val="24"/>
          <w:szCs w:val="24"/>
        </w:rPr>
        <w:t>、其他要求</w:t>
      </w:r>
    </w:p>
    <w:p w14:paraId="442EDE8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r>
        <w:rPr>
          <w:color w:val="auto"/>
          <w:sz w:val="24"/>
          <w:szCs w:val="24"/>
        </w:rPr>
        <w:t>投标人需提供</w:t>
      </w:r>
      <w:r>
        <w:rPr>
          <w:rFonts w:hint="eastAsia"/>
          <w:color w:val="auto"/>
          <w:sz w:val="24"/>
          <w:szCs w:val="24"/>
          <w:lang w:val="en-US" w:eastAsia="zh-CN"/>
        </w:rPr>
        <w:t>门诊楼无线网</w:t>
      </w:r>
      <w:r>
        <w:rPr>
          <w:color w:val="auto"/>
          <w:sz w:val="24"/>
          <w:szCs w:val="24"/>
        </w:rPr>
        <w:t>设备厂商</w:t>
      </w:r>
      <w:r>
        <w:rPr>
          <w:rFonts w:hint="eastAsia"/>
          <w:color w:val="auto"/>
          <w:sz w:val="24"/>
          <w:szCs w:val="24"/>
          <w:lang w:val="en-US" w:eastAsia="zh-CN"/>
        </w:rPr>
        <w:t>原厂工程师网络优化服务一次，</w:t>
      </w:r>
      <w:r>
        <w:rPr>
          <w:color w:val="auto"/>
          <w:sz w:val="24"/>
          <w:szCs w:val="24"/>
        </w:rPr>
        <w:t>投标人需提供设备原厂出具</w:t>
      </w:r>
      <w:r>
        <w:rPr>
          <w:rFonts w:hint="eastAsia"/>
          <w:color w:val="auto"/>
          <w:sz w:val="24"/>
          <w:szCs w:val="24"/>
          <w:lang w:val="en-US" w:eastAsia="zh-CN"/>
        </w:rPr>
        <w:t>加盖原厂公章</w:t>
      </w:r>
      <w:r>
        <w:rPr>
          <w:color w:val="auto"/>
          <w:sz w:val="24"/>
          <w:szCs w:val="24"/>
        </w:rPr>
        <w:t>的《无线网络优化服务确认函》</w:t>
      </w:r>
      <w:r>
        <w:rPr>
          <w:rFonts w:hint="eastAsia"/>
          <w:color w:val="auto"/>
          <w:sz w:val="24"/>
          <w:szCs w:val="24"/>
          <w:lang w:eastAsia="zh-CN"/>
        </w:rPr>
        <w:t>。</w:t>
      </w:r>
    </w:p>
    <w:p w14:paraId="1C546ADD">
      <w:pPr>
        <w:rPr>
          <w:rFonts w:hint="eastAsia"/>
          <w:b/>
          <w:bCs/>
          <w:color w:val="auto"/>
          <w:lang w:val="en-US" w:eastAsia="zh-CN"/>
        </w:rPr>
      </w:pPr>
      <w:r>
        <w:rPr>
          <w:rFonts w:hint="eastAsia"/>
          <w:b/>
          <w:bCs/>
          <w:color w:val="auto"/>
          <w:lang w:val="en-US" w:eastAsia="zh-CN"/>
        </w:rPr>
        <w:t>附件一：服务清单及设备金额</w:t>
      </w:r>
    </w:p>
    <w:tbl>
      <w:tblPr>
        <w:tblStyle w:val="18"/>
        <w:tblW w:w="10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9"/>
        <w:gridCol w:w="822"/>
        <w:gridCol w:w="1647"/>
        <w:gridCol w:w="888"/>
        <w:gridCol w:w="2263"/>
        <w:gridCol w:w="672"/>
        <w:gridCol w:w="664"/>
        <w:gridCol w:w="975"/>
        <w:gridCol w:w="1033"/>
        <w:gridCol w:w="1147"/>
      </w:tblGrid>
      <w:tr w14:paraId="1D7ED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37BCB7E6">
            <w:pPr>
              <w:keepNext w:val="0"/>
              <w:keepLines w:val="0"/>
              <w:widowControl/>
              <w:suppressLineNumbers w:val="0"/>
              <w:jc w:val="center"/>
              <w:textAlignment w:val="center"/>
              <w:rPr>
                <w:rFonts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序号</w:t>
            </w:r>
          </w:p>
        </w:tc>
        <w:tc>
          <w:tcPr>
            <w:tcW w:w="822"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03816C45">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位置</w:t>
            </w:r>
          </w:p>
        </w:tc>
        <w:tc>
          <w:tcPr>
            <w:tcW w:w="1647"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627D8A85">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设备列表</w:t>
            </w:r>
          </w:p>
        </w:tc>
        <w:tc>
          <w:tcPr>
            <w:tcW w:w="888"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2DBE53B2">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品牌</w:t>
            </w:r>
          </w:p>
        </w:tc>
        <w:tc>
          <w:tcPr>
            <w:tcW w:w="2263"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1745C82D">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设备型号</w:t>
            </w:r>
          </w:p>
        </w:tc>
        <w:tc>
          <w:tcPr>
            <w:tcW w:w="672"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4B596C83">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数量</w:t>
            </w:r>
          </w:p>
        </w:tc>
        <w:tc>
          <w:tcPr>
            <w:tcW w:w="664"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4DCD1C60">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单位</w:t>
            </w:r>
          </w:p>
        </w:tc>
        <w:tc>
          <w:tcPr>
            <w:tcW w:w="975"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12C71290">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单价</w:t>
            </w:r>
          </w:p>
        </w:tc>
        <w:tc>
          <w:tcPr>
            <w:tcW w:w="1033"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376E32CA">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合计</w:t>
            </w:r>
          </w:p>
        </w:tc>
        <w:tc>
          <w:tcPr>
            <w:tcW w:w="1147" w:type="dxa"/>
            <w:tcBorders>
              <w:top w:val="single" w:color="000000" w:sz="4" w:space="0"/>
              <w:left w:val="single" w:color="000000" w:sz="4" w:space="0"/>
              <w:bottom w:val="single" w:color="000000" w:sz="4" w:space="0"/>
              <w:right w:val="single" w:color="000000" w:sz="4" w:space="0"/>
            </w:tcBorders>
            <w:shd w:val="clear" w:color="auto" w:fill="BEBEBE"/>
            <w:vAlign w:val="center"/>
          </w:tcPr>
          <w:p w14:paraId="209D36C5">
            <w:pPr>
              <w:keepNext w:val="0"/>
              <w:keepLines w:val="0"/>
              <w:widowControl/>
              <w:suppressLineNumbers w:val="0"/>
              <w:jc w:val="center"/>
              <w:textAlignment w:val="center"/>
              <w:rPr>
                <w:rFonts w:hint="default" w:ascii="等线" w:hAnsi="等线" w:eastAsia="等线" w:cs="等线"/>
                <w:b/>
                <w:bCs/>
                <w:i w:val="0"/>
                <w:iCs w:val="0"/>
                <w:color w:val="auto"/>
                <w:kern w:val="0"/>
                <w:sz w:val="22"/>
                <w:szCs w:val="22"/>
                <w:u w:val="none"/>
                <w:lang w:val="en-US" w:eastAsia="zh-CN" w:bidi="ar"/>
              </w:rPr>
            </w:pPr>
            <w:r>
              <w:rPr>
                <w:rFonts w:hint="eastAsia" w:ascii="等线" w:hAnsi="等线" w:eastAsia="等线" w:cs="等线"/>
                <w:b/>
                <w:bCs/>
                <w:i w:val="0"/>
                <w:iCs w:val="0"/>
                <w:color w:val="auto"/>
                <w:kern w:val="0"/>
                <w:sz w:val="22"/>
                <w:szCs w:val="22"/>
                <w:u w:val="none"/>
                <w:lang w:val="en-US" w:eastAsia="zh-CN" w:bidi="ar"/>
              </w:rPr>
              <w:t>使用年限</w:t>
            </w:r>
          </w:p>
        </w:tc>
      </w:tr>
      <w:tr w14:paraId="5F70C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DEA19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74A0B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主院区中心机房</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13F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内网核心</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890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3B6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8900E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2358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F59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9AEFB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167100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41475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334200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F74CC">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410AE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C2A0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161A9">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2622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服务器汇聚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11AC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323C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9904-S</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DCED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978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657073">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284390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C55482">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568780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189212">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6ED32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8D6359">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98178">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D4C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综合楼内网汇聚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1273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FFF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8905E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B2F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473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8C9CD3">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36861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18B82B">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75F94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DB43F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55000">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090D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外网核心</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208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BBB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S7003X</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BCA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27C3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B1F0D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64500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BB26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129000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82C84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27EF0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B1FE2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009FB">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8B89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前置交换机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802A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D4E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LS-5560S-28P-SI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2A23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CB5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82FB34">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1DBB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E0A62F">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784B2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40330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7601B">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6E70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前置交换机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B494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4013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LS-5500V2-30F-EI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FD53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3C8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AEFD8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7F115B">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9965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06AA3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21031">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4865D">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9F82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门诊楼AC</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F8F8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AA86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WX3520H</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AE7A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8CD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EB180F">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21200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40EA1">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84800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55A6F6">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5F6F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7BFD8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16901">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2BD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EF1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E47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5952E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64B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51B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8A2E23">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6B597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B77A8">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w:t>
            </w:r>
          </w:p>
        </w:tc>
      </w:tr>
      <w:tr w14:paraId="698BD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166207">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2265F">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9611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B0AA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590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5250-L</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783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8DB5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54E39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9A1A4">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18000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7B92F5">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0B30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35520E">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10</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AEE70">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5089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BCE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EDA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5124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1D8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3EC7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40F2C">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FE20FC">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BB4A94">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15</w:t>
            </w:r>
          </w:p>
        </w:tc>
      </w:tr>
      <w:tr w14:paraId="583ED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B7BF71">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CEB2C">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FFC6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门禁系统</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15F9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定制</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F96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定制</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8418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62A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1FC2AF">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35900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BF71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71800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6CBE34">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12</w:t>
            </w:r>
          </w:p>
        </w:tc>
      </w:tr>
      <w:tr w14:paraId="45B27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2C623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12</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C76F9">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8CF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精密空调</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6C5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依米康</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923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SCA501D</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17E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150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21420">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163650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A1906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490950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8C4CBD">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12</w:t>
            </w:r>
          </w:p>
        </w:tc>
      </w:tr>
      <w:tr w14:paraId="3B2A9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6639C5">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13</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1DC31">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E4B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UPS</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119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台达</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7F47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DPH-200K</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188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BB3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5A89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319800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553B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319800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C5478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12</w:t>
            </w:r>
          </w:p>
        </w:tc>
      </w:tr>
      <w:tr w14:paraId="7618D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DD8B33">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5CF6E">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3550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机房环控</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314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纵横通</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086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定制</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661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95C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9BC825">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EB51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C0D3AC">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12</w:t>
            </w:r>
          </w:p>
        </w:tc>
      </w:tr>
      <w:tr w14:paraId="34F6B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3C0705">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15</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3D87B">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BB2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无线安全准入</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98E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D908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SWP-IMC7-IMP</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BC23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08E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7E61A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8AB4D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D4A781">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w:t>
            </w:r>
          </w:p>
        </w:tc>
      </w:tr>
      <w:tr w14:paraId="53179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BCBA84">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16</w:t>
            </w:r>
          </w:p>
        </w:tc>
        <w:tc>
          <w:tcPr>
            <w:tcW w:w="822" w:type="dxa"/>
            <w:vMerge w:val="restart"/>
            <w:tcBorders>
              <w:top w:val="single" w:color="000000" w:sz="4" w:space="0"/>
              <w:left w:val="single" w:color="000000" w:sz="4" w:space="0"/>
              <w:bottom w:val="nil"/>
              <w:right w:val="single" w:color="000000" w:sz="4" w:space="0"/>
            </w:tcBorders>
            <w:shd w:val="clear" w:color="auto" w:fill="auto"/>
            <w:vAlign w:val="center"/>
          </w:tcPr>
          <w:p w14:paraId="0E3FF46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主院区容灾中心机房</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1D5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内网核心C</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359F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DFF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8900E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1D9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E999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336A6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130000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A1127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130000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27514E">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59FF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27CB67">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17</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0B7F764B">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70F7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服务器汇聚C</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4FD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649E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9904-S</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325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850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4DC56B">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270000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898B13">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270000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C8ABD0">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55A9A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E81F2">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18</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36EC1E34">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A37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门诊楼内网汇聚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855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E69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S7610E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F2FB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4B8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A697B">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25400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8887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101600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6D01">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1BB14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1C4039">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19</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121E2198">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A55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门诊楼外网汇聚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62F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9B4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S7610E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BAEE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D326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92E5C">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25400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AA1B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50800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E7D9">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03E6E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B96874">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20</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549A6CD4">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76C9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门诊楼无线汇聚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A72B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F7B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S7610E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D316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B269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0462">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25400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7BC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50800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8B3F">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19F89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EEE6D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21</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299712D5">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0B1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精密空调</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829E76">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科华</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91A491">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KHJA-P12AD</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FBB9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9A54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CBF462">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39500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9CEE4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79000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2812F">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28951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C1A446">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22</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4AD47E4D">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E47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防爆空调</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8D3285">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海信</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51D96F">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BKFR-120L/TSU-N2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CBDA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CF16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0B9588">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16E44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15ED22">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385E0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0FDE28">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23</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0FE70E5E">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11B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UPS</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2091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科华</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D87723">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YTM33125-75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AAC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0772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CDFC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96900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94C52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96900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B8AB42">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76BEF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A4D2DE">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24</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37CBFDE5">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1A08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机房环控</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F94C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纵横通</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3448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定制</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65B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BEC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7C8F5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E314FB">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09641B">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3BE0D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C21CF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7220F993">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979A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门禁系统</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5FA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定制</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1ECD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定制</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943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FA1B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7C32B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6C93AB">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5C5B5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107E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137DC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26</w:t>
            </w:r>
          </w:p>
        </w:tc>
        <w:tc>
          <w:tcPr>
            <w:tcW w:w="822" w:type="dxa"/>
            <w:vMerge w:val="continue"/>
            <w:tcBorders>
              <w:top w:val="single" w:color="000000" w:sz="4" w:space="0"/>
              <w:left w:val="single" w:color="000000" w:sz="4" w:space="0"/>
              <w:bottom w:val="nil"/>
              <w:right w:val="single" w:color="000000" w:sz="4" w:space="0"/>
            </w:tcBorders>
            <w:shd w:val="clear" w:color="auto" w:fill="auto"/>
            <w:vAlign w:val="center"/>
          </w:tcPr>
          <w:p w14:paraId="16C1918F">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CDE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新风系统</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073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天方</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BA7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X-35D</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08C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1BE0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DFD6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7800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CA9C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7800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F83DB">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1A92D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3DDF4">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27</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7BF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门诊楼</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AA9C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E7C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F937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S5110V2-28P</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7EED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35</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C68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DF95DB">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1700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B885DF">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59500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E3E8CD">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426F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8DE4C">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28</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7BD8A">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8B9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AC0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FD5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S5110V2-52P</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AC9B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16</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E0AE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942A82">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3200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53D965">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51200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803FEE">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78B7C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B0DEEB">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29</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AF768">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CA2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POE交换机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CCA7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7A1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S5110V2-28P-HPWR</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6C78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A59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3B7DF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4400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27E68C">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825EE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3C06D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D48FF">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30</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FD23">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BDD718">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AP</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70AE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C475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UAP300-SI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F31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130</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930E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1DE16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1450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68531">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188500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4FC023">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205CB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F1D652">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31</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B445">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5ACCCC">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AP扩展</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CA53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514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EWP-WA4320i-X-FIT</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5D88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138</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833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4A25E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1450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B8F34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200100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472D90">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36BA7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BDE971">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32</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F1AA6">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E1C65">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AP</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A22C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3E75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WA4320i-X</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80E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150</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52B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1033B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950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CA9F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142500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434FFD">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w:t>
            </w:r>
          </w:p>
        </w:tc>
      </w:tr>
      <w:tr w14:paraId="7BEE5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DC79C2">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33</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E88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内科楼</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DA9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内网汇聚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2962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AE53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8905E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8A2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200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69017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64461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EBE453">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008AB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5BC611">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34</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78358">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7D2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外网汇聚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FCE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9758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6905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4D1A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450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5E81C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C90FEC">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B5BE3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25819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FBB8E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35</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8E4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外科楼</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6D59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内网汇聚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12E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4B13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8905E</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A3C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31D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5B0D2">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547B9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220000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9FEFFB">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6BDB9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CBFC92">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36</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F2D4">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E5C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外网汇聚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85D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FF12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S6520X-54QC-EI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0232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79C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03CD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8985A4">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19980">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2801B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EA5F35">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37</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6712">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5CA75D">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6C2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70F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5250-28TC</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DBD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25</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993C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DAD935">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5700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B50DFF">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142500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994C68">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33406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54CEB9">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38</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195CC">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59F10A">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9DEA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05F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5130V2-28P-LI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2B6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134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57C14F">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5890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99C45E">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17670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874CF4">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7F5DD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7DF6B3">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39</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1B9A">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0D068B">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ED2E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B08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S1850V2-28P-EI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20D6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263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83225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3326</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B9CDD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23282</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B9F164">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55050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29DA9A">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40</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61971">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CD9CAB">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B71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935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5250-52TC</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FBF0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2CA2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8FDA6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5700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53C83C">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62700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9D4D0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2A449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9A5A0B">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41</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14C9">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F44ED7">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707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B22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5124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83AC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583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BEE79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EB387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18000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8E9871">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32748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07900E">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42</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66E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综合楼</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F4862C">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340D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3952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5124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7751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3B5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7CC662">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34E67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18000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00076F">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52F6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B8A0B">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43</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85BA">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52983B">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1234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B38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5250-52TS-L</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E223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5CC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010327">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CE2C01">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24000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8E8EA">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5DB4A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073817">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44</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8018">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20D354">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01DB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59D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S5130V2-28P-LI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D22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FE8B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E75288">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5890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E0DDF4">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5890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D2506B">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59804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EAE94">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45</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EDF7">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C7057E">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A802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255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S1850V2-28P-EI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1BA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A9D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0C1B3F">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3326</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6E0D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26608</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D8D2E0">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7B064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53623">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46</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07E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行政楼</w:t>
            </w: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5240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内网汇聚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81AE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E26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5950-XZL</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69F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0B6A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BBF0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0D14F8">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120000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DEA89">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46189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D81ACE">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47</w:t>
            </w: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FBA2F">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3A00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外网汇聚</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D6A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C9B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5928FI</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C098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FCB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81D76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922EB6">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60000</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4E66EC">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r>
      <w:tr w14:paraId="45790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6243433E">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48</w:t>
            </w:r>
          </w:p>
        </w:tc>
        <w:tc>
          <w:tcPr>
            <w:tcW w:w="822"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14:paraId="40309604">
            <w:pPr>
              <w:jc w:val="center"/>
              <w:rPr>
                <w:rFonts w:hint="eastAsia" w:ascii="等线" w:hAnsi="等线" w:eastAsia="等线" w:cs="等线"/>
                <w:i w:val="0"/>
                <w:iCs w:val="0"/>
                <w:color w:val="auto"/>
                <w:sz w:val="22"/>
                <w:szCs w:val="22"/>
                <w:u w:val="none"/>
              </w:rPr>
            </w:pPr>
          </w:p>
        </w:tc>
        <w:tc>
          <w:tcPr>
            <w:tcW w:w="1647"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4A9AFCC6">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76F3C1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H3C</w:t>
            </w:r>
          </w:p>
        </w:tc>
        <w:tc>
          <w:tcPr>
            <w:tcW w:w="226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E87170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S5120V3-52P-LI</w:t>
            </w:r>
          </w:p>
        </w:tc>
        <w:tc>
          <w:tcPr>
            <w:tcW w:w="6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127E89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66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D4B2E9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78EC7A21">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4891</w:t>
            </w:r>
          </w:p>
        </w:tc>
        <w:tc>
          <w:tcPr>
            <w:tcW w:w="1033"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321E5D50">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9782</w:t>
            </w:r>
          </w:p>
        </w:tc>
        <w:tc>
          <w:tcPr>
            <w:tcW w:w="1147"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362898D5">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38AEB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A8EF793">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49</w:t>
            </w:r>
          </w:p>
        </w:tc>
        <w:tc>
          <w:tcPr>
            <w:tcW w:w="822"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C212BE9">
            <w:pPr>
              <w:jc w:val="center"/>
              <w:rPr>
                <w:rFonts w:hint="eastAsia" w:ascii="等线" w:hAnsi="等线" w:eastAsia="等线" w:cs="等线"/>
                <w:i w:val="0"/>
                <w:iCs w:val="0"/>
                <w:color w:val="auto"/>
                <w:sz w:val="22"/>
                <w:szCs w:val="22"/>
                <w:u w:val="none"/>
              </w:rPr>
            </w:pPr>
          </w:p>
        </w:tc>
        <w:tc>
          <w:tcPr>
            <w:tcW w:w="164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059DDF0">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接入交换机</w:t>
            </w:r>
          </w:p>
        </w:tc>
        <w:tc>
          <w:tcPr>
            <w:tcW w:w="8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6A6E8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中兴</w:t>
            </w:r>
          </w:p>
        </w:tc>
        <w:tc>
          <w:tcPr>
            <w:tcW w:w="22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4D2E3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5124</w:t>
            </w:r>
          </w:p>
        </w:tc>
        <w:tc>
          <w:tcPr>
            <w:tcW w:w="6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26D63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6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D8D71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16F30DA">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6000</w:t>
            </w:r>
          </w:p>
        </w:tc>
        <w:tc>
          <w:tcPr>
            <w:tcW w:w="103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396D619">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18000</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D2D5076">
            <w:pPr>
              <w:keepNext w:val="0"/>
              <w:keepLines w:val="0"/>
              <w:widowControl/>
              <w:suppressLineNumbers w:val="0"/>
              <w:jc w:val="center"/>
              <w:textAlignment w:val="bottom"/>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13</w:t>
            </w:r>
          </w:p>
        </w:tc>
      </w:tr>
      <w:tr w14:paraId="0FB8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541D1E2">
            <w:pPr>
              <w:rPr>
                <w:rFonts w:hint="default"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50</w:t>
            </w:r>
          </w:p>
        </w:tc>
        <w:tc>
          <w:tcPr>
            <w:tcW w:w="7931" w:type="dxa"/>
            <w:gridSpan w:val="7"/>
            <w:tcBorders>
              <w:top w:val="single" w:color="auto" w:sz="4" w:space="0"/>
              <w:left w:val="single" w:color="auto" w:sz="4" w:space="0"/>
              <w:bottom w:val="single" w:color="auto" w:sz="4" w:space="0"/>
              <w:right w:val="single" w:color="auto" w:sz="4" w:space="0"/>
            </w:tcBorders>
            <w:shd w:val="clear" w:color="auto" w:fill="auto"/>
            <w:noWrap/>
            <w:vAlign w:val="bottom"/>
          </w:tcPr>
          <w:p w14:paraId="772B3CED">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共计：</w:t>
            </w:r>
          </w:p>
        </w:tc>
        <w:tc>
          <w:tcPr>
            <w:tcW w:w="103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6FAAEF8">
            <w:pPr>
              <w:keepNext w:val="0"/>
              <w:keepLines w:val="0"/>
              <w:widowControl/>
              <w:suppressLineNumbers w:val="0"/>
              <w:jc w:val="right"/>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5129462</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0CEEB72">
            <w:pPr>
              <w:keepNext w:val="0"/>
              <w:keepLines w:val="0"/>
              <w:widowControl/>
              <w:suppressLineNumbers w:val="0"/>
              <w:jc w:val="center"/>
              <w:textAlignment w:val="bottom"/>
              <w:rPr>
                <w:rFonts w:hint="eastAsia" w:ascii="等线" w:hAnsi="等线" w:eastAsia="等线" w:cs="等线"/>
                <w:i w:val="0"/>
                <w:iCs w:val="0"/>
                <w:color w:val="auto"/>
                <w:kern w:val="0"/>
                <w:sz w:val="22"/>
                <w:szCs w:val="22"/>
                <w:u w:val="none"/>
                <w:lang w:val="en-US" w:eastAsia="zh-CN" w:bidi="ar"/>
              </w:rPr>
            </w:pPr>
          </w:p>
        </w:tc>
      </w:tr>
    </w:tbl>
    <w:p w14:paraId="49E21E2B">
      <w:pPr>
        <w:rPr>
          <w:rFonts w:hint="default"/>
          <w:color w:val="auto"/>
          <w:lang w:val="en-US" w:eastAsia="zh-CN"/>
        </w:rPr>
      </w:pPr>
    </w:p>
    <w:p w14:paraId="4A98F123">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CF7C9B"/>
    <w:multiLevelType w:val="singleLevel"/>
    <w:tmpl w:val="E7CF7C9B"/>
    <w:lvl w:ilvl="0" w:tentative="0">
      <w:start w:val="1"/>
      <w:numFmt w:val="decimal"/>
      <w:lvlText w:val="%1."/>
      <w:lvlJc w:val="left"/>
      <w:pPr>
        <w:ind w:left="425" w:hanging="425"/>
      </w:pPr>
      <w:rPr>
        <w:rFonts w:hint="default"/>
      </w:rPr>
    </w:lvl>
  </w:abstractNum>
  <w:abstractNum w:abstractNumId="1">
    <w:nsid w:val="1F32685A"/>
    <w:multiLevelType w:val="multilevel"/>
    <w:tmpl w:val="1F32685A"/>
    <w:lvl w:ilvl="0" w:tentative="0">
      <w:start w:val="1"/>
      <w:numFmt w:val="decimal"/>
      <w:pStyle w:val="24"/>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445F2048"/>
    <w:multiLevelType w:val="singleLevel"/>
    <w:tmpl w:val="445F2048"/>
    <w:lvl w:ilvl="0" w:tentative="0">
      <w:start w:val="7"/>
      <w:numFmt w:val="chineseCounting"/>
      <w:suff w:val="nothing"/>
      <w:lvlText w:val="%1、"/>
      <w:lvlJc w:val="left"/>
      <w:rPr>
        <w:rFonts w:hint="eastAsia"/>
      </w:rPr>
    </w:lvl>
  </w:abstractNum>
  <w:abstractNum w:abstractNumId="3">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4">
    <w:nsid w:val="6975FA8A"/>
    <w:multiLevelType w:val="singleLevel"/>
    <w:tmpl w:val="6975FA8A"/>
    <w:lvl w:ilvl="0" w:tentative="0">
      <w:start w:val="1"/>
      <w:numFmt w:val="bullet"/>
      <w:lvlText w:val=""/>
      <w:lvlJc w:val="left"/>
      <w:pPr>
        <w:ind w:left="420" w:hanging="420"/>
      </w:pPr>
      <w:rPr>
        <w:rFonts w:hint="default" w:ascii="Wingdings" w:hAnsi="Wingdings"/>
      </w:rPr>
    </w:lvl>
  </w:abstractNum>
  <w:abstractNum w:abstractNumId="5">
    <w:nsid w:val="76481E0C"/>
    <w:multiLevelType w:val="singleLevel"/>
    <w:tmpl w:val="76481E0C"/>
    <w:lvl w:ilvl="0" w:tentative="0">
      <w:start w:val="1"/>
      <w:numFmt w:val="chineseCounting"/>
      <w:suff w:val="nothing"/>
      <w:lvlText w:val="%1、"/>
      <w:lvlJc w:val="left"/>
      <w:rPr>
        <w:rFonts w:hint="eastAsia"/>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C27081B"/>
    <w:rsid w:val="1C747071"/>
    <w:rsid w:val="1D532009"/>
    <w:rsid w:val="1E126711"/>
    <w:rsid w:val="1E965ADC"/>
    <w:rsid w:val="1F736570"/>
    <w:rsid w:val="1F97749C"/>
    <w:rsid w:val="1FBE772B"/>
    <w:rsid w:val="206C2341"/>
    <w:rsid w:val="21AC3DB3"/>
    <w:rsid w:val="221C5952"/>
    <w:rsid w:val="251D54C7"/>
    <w:rsid w:val="264A07EB"/>
    <w:rsid w:val="27B468BB"/>
    <w:rsid w:val="28FB6912"/>
    <w:rsid w:val="293715E5"/>
    <w:rsid w:val="29435826"/>
    <w:rsid w:val="2BC80D77"/>
    <w:rsid w:val="2C5D1363"/>
    <w:rsid w:val="2CF717B7"/>
    <w:rsid w:val="2D9D5991"/>
    <w:rsid w:val="2E1161C9"/>
    <w:rsid w:val="2FF574D3"/>
    <w:rsid w:val="302723B3"/>
    <w:rsid w:val="33852335"/>
    <w:rsid w:val="33BF7284"/>
    <w:rsid w:val="34A664F8"/>
    <w:rsid w:val="3515301D"/>
    <w:rsid w:val="36ED530F"/>
    <w:rsid w:val="397A79F8"/>
    <w:rsid w:val="3AD35612"/>
    <w:rsid w:val="3C264863"/>
    <w:rsid w:val="3C6908E7"/>
    <w:rsid w:val="3CDF1E8E"/>
    <w:rsid w:val="3DCC1CEF"/>
    <w:rsid w:val="3DF74328"/>
    <w:rsid w:val="3E9D5936"/>
    <w:rsid w:val="3EBE6087"/>
    <w:rsid w:val="40CE4C5A"/>
    <w:rsid w:val="40F3505F"/>
    <w:rsid w:val="41AE2E46"/>
    <w:rsid w:val="42F308B1"/>
    <w:rsid w:val="43CA7ECB"/>
    <w:rsid w:val="45736390"/>
    <w:rsid w:val="457E74C5"/>
    <w:rsid w:val="469031CB"/>
    <w:rsid w:val="47173184"/>
    <w:rsid w:val="486E604D"/>
    <w:rsid w:val="491A0EBA"/>
    <w:rsid w:val="4A7B1CDE"/>
    <w:rsid w:val="4DB03590"/>
    <w:rsid w:val="5692056C"/>
    <w:rsid w:val="57311572"/>
    <w:rsid w:val="57760F4E"/>
    <w:rsid w:val="5ABD1400"/>
    <w:rsid w:val="5B4869ED"/>
    <w:rsid w:val="5C0E0E83"/>
    <w:rsid w:val="5C966047"/>
    <w:rsid w:val="5D786D1A"/>
    <w:rsid w:val="5F545483"/>
    <w:rsid w:val="614926D5"/>
    <w:rsid w:val="634A17BF"/>
    <w:rsid w:val="637820DD"/>
    <w:rsid w:val="63C05E4E"/>
    <w:rsid w:val="64104F27"/>
    <w:rsid w:val="64842452"/>
    <w:rsid w:val="652135E5"/>
    <w:rsid w:val="666C6A4D"/>
    <w:rsid w:val="67892A30"/>
    <w:rsid w:val="678C42CF"/>
    <w:rsid w:val="69EC6364"/>
    <w:rsid w:val="6B126E3A"/>
    <w:rsid w:val="6B880FF7"/>
    <w:rsid w:val="6C6B28EF"/>
    <w:rsid w:val="6DFF6DF1"/>
    <w:rsid w:val="6FAA5C3A"/>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Body Text"/>
    <w:basedOn w:val="1"/>
    <w:next w:val="12"/>
    <w:unhideWhenUsed/>
    <w:qFormat/>
    <w:uiPriority w:val="99"/>
    <w:pPr>
      <w:spacing w:after="120"/>
    </w:pPr>
  </w:style>
  <w:style w:type="paragraph" w:styleId="12">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toc 1"/>
    <w:basedOn w:val="1"/>
    <w:next w:val="1"/>
    <w:unhideWhenUsed/>
    <w:qFormat/>
    <w:uiPriority w:val="1"/>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rPr>
      <w:sz w:val="24"/>
    </w:rPr>
  </w:style>
  <w:style w:type="table" w:styleId="19">
    <w:name w:val="Table Grid"/>
    <w:basedOn w:val="1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Strong"/>
    <w:basedOn w:val="20"/>
    <w:qFormat/>
    <w:uiPriority w:val="0"/>
    <w:rPr>
      <w:b/>
      <w:bCs/>
    </w:rPr>
  </w:style>
  <w:style w:type="paragraph" w:customStyle="1" w:styleId="22">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3">
    <w:name w:val="No Spacing1"/>
    <w:basedOn w:val="1"/>
    <w:qFormat/>
    <w:uiPriority w:val="1"/>
    <w:pPr>
      <w:spacing w:line="400" w:lineRule="exact"/>
    </w:pPr>
    <w:rPr>
      <w:sz w:val="24"/>
    </w:rPr>
  </w:style>
  <w:style w:type="paragraph" w:customStyle="1" w:styleId="24">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5">
    <w:name w:val="U_正文2"/>
    <w:basedOn w:val="1"/>
    <w:qFormat/>
    <w:uiPriority w:val="0"/>
    <w:pPr>
      <w:spacing w:before="10" w:beforeLines="10" w:after="10" w:afterLines="10" w:line="300" w:lineRule="auto"/>
    </w:pPr>
    <w:rPr>
      <w:sz w:val="24"/>
      <w:szCs w:val="20"/>
    </w:rPr>
  </w:style>
  <w:style w:type="paragraph" w:customStyle="1" w:styleId="26">
    <w:name w:val="U_正文"/>
    <w:basedOn w:val="1"/>
    <w:qFormat/>
    <w:uiPriority w:val="0"/>
    <w:pPr>
      <w:spacing w:before="20" w:beforeLines="20" w:after="20" w:afterLines="20" w:line="300" w:lineRule="auto"/>
      <w:ind w:firstLine="200" w:firstLineChars="200"/>
    </w:pPr>
    <w:rPr>
      <w:sz w:val="24"/>
      <w:szCs w:val="20"/>
    </w:rPr>
  </w:style>
  <w:style w:type="paragraph" w:customStyle="1" w:styleId="27">
    <w:name w:val="Table Paragraph"/>
    <w:basedOn w:val="1"/>
    <w:qFormat/>
    <w:uiPriority w:val="1"/>
    <w:rPr>
      <w:rFonts w:ascii="宋体" w:hAnsi="宋体" w:eastAsia="宋体" w:cs="宋体"/>
    </w:rPr>
  </w:style>
  <w:style w:type="character" w:customStyle="1" w:styleId="28">
    <w:name w:val="font31"/>
    <w:basedOn w:val="20"/>
    <w:qFormat/>
    <w:uiPriority w:val="0"/>
    <w:rPr>
      <w:rFonts w:hint="eastAsia" w:ascii="宋体" w:hAnsi="宋体" w:eastAsia="宋体" w:cs="宋体"/>
      <w:color w:val="000000"/>
      <w:sz w:val="28"/>
      <w:szCs w:val="28"/>
      <w:u w:val="none"/>
    </w:rPr>
  </w:style>
  <w:style w:type="paragraph" w:styleId="2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5</Pages>
  <Words>1299</Words>
  <Characters>1307</Characters>
  <Lines>0</Lines>
  <Paragraphs>0</Paragraphs>
  <TotalTime>0</TotalTime>
  <ScaleCrop>false</ScaleCrop>
  <LinksUpToDate>false</LinksUpToDate>
  <CharactersWithSpaces>1309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2026-04-03T06:09:34Z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