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84DC0">
      <w:pPr>
        <w:pStyle w:val="2"/>
        <w:ind w:firstLine="3048" w:firstLineChars="690"/>
        <w:jc w:val="both"/>
      </w:pPr>
      <w:bookmarkStart w:id="0" w:name="_Toc32038"/>
      <w:r>
        <w:rPr>
          <w:rFonts w:hint="eastAsia"/>
        </w:rPr>
        <w:t>采购需求</w:t>
      </w:r>
      <w:bookmarkEnd w:id="0"/>
    </w:p>
    <w:p w14:paraId="22C1DADB">
      <w:pPr>
        <w:pStyle w:val="3"/>
        <w:numPr>
          <w:ilvl w:val="0"/>
          <w:numId w:val="3"/>
        </w:numPr>
      </w:pPr>
      <w:bookmarkStart w:id="1" w:name="_Toc24099"/>
      <w:bookmarkStart w:id="2" w:name="_Toc163493626"/>
      <w:bookmarkStart w:id="3" w:name="_Toc156490322"/>
      <w:r>
        <w:rPr>
          <w:rFonts w:hint="eastAsia"/>
        </w:rPr>
        <w:t>项目概述</w:t>
      </w:r>
      <w:bookmarkEnd w:id="1"/>
      <w:bookmarkEnd w:id="2"/>
      <w:bookmarkEnd w:id="3"/>
    </w:p>
    <w:p w14:paraId="6E92D1E2">
      <w:pPr>
        <w:pStyle w:val="11"/>
        <w:autoSpaceDE w:val="0"/>
        <w:autoSpaceDN w:val="0"/>
        <w:spacing w:beforeLines="50" w:afterLines="50" w:line="360" w:lineRule="auto"/>
        <w:ind w:left="210" w:leftChars="100" w:right="426" w:firstLine="496" w:firstLineChars="207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项目名称:医院危化品采购项目，项目预算不超过22万元</w:t>
      </w:r>
    </w:p>
    <w:p w14:paraId="3B829349">
      <w:pPr>
        <w:pStyle w:val="3"/>
        <w:numPr>
          <w:ilvl w:val="0"/>
          <w:numId w:val="3"/>
        </w:numPr>
      </w:pPr>
      <w:bookmarkStart w:id="4" w:name="_Toc4029"/>
      <w:r>
        <w:rPr>
          <w:rFonts w:hint="eastAsia"/>
        </w:rPr>
        <w:t>采购清单、技术要求</w:t>
      </w:r>
      <w:bookmarkEnd w:id="4"/>
    </w:p>
    <w:tbl>
      <w:tblPr>
        <w:tblStyle w:val="20"/>
        <w:tblW w:w="7730" w:type="dxa"/>
        <w:tblInd w:w="9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1"/>
        <w:gridCol w:w="1616"/>
        <w:gridCol w:w="625"/>
        <w:gridCol w:w="1050"/>
        <w:gridCol w:w="864"/>
        <w:gridCol w:w="1206"/>
      </w:tblGrid>
      <w:tr w14:paraId="424F3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22181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产品名称</w:t>
            </w:r>
          </w:p>
        </w:tc>
        <w:tc>
          <w:tcPr>
            <w:tcW w:w="1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A4AD1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规格</w:t>
            </w:r>
          </w:p>
        </w:tc>
        <w:tc>
          <w:tcPr>
            <w:tcW w:w="6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EE94C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单位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50994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 xml:space="preserve"> 预采价  （元）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64E656"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预采量</w:t>
            </w:r>
          </w:p>
        </w:tc>
        <w:tc>
          <w:tcPr>
            <w:tcW w:w="10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B3A67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预采金额（元）</w:t>
            </w:r>
          </w:p>
        </w:tc>
      </w:tr>
      <w:tr w14:paraId="165C3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7DE537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bookmarkStart w:id="5" w:name="_Hlk232058898"/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脱钙液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561E5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1000ml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6678545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688DAF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750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FBA2E6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3C4ADE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3750</w:t>
            </w:r>
          </w:p>
        </w:tc>
      </w:tr>
      <w:tr w14:paraId="67A71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D280FC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溴化钾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4F22C6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50克/袋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5A84AF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袋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F7BB3D9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598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27C6A8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7C4F5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2392</w:t>
            </w:r>
          </w:p>
        </w:tc>
      </w:tr>
      <w:tr w14:paraId="74667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899EF0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苏木素染色液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483AFE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1000ml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3FC2EE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4C302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990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718BC0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DB3C8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39600</w:t>
            </w:r>
          </w:p>
        </w:tc>
      </w:tr>
      <w:tr w14:paraId="2ABA8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841959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伊红染色液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99D200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1000ml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7CAF68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35BCB20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730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FA1BB7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B88734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25550</w:t>
            </w:r>
          </w:p>
        </w:tc>
      </w:tr>
      <w:tr w14:paraId="373E6D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3406F7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过氧乙酸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676404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F42ADEB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07F6129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38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76A3EAA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86DB78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760</w:t>
            </w:r>
          </w:p>
        </w:tc>
      </w:tr>
      <w:tr w14:paraId="2EF378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DF7B8D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正丁醇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A4479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112C310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EC1CAA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89C48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895743D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300</w:t>
            </w:r>
          </w:p>
        </w:tc>
      </w:tr>
      <w:tr w14:paraId="4EE4CB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959CD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色谱甲醇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98256E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4F70818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05F13C4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4827051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786AD5F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260</w:t>
            </w:r>
          </w:p>
        </w:tc>
      </w:tr>
      <w:tr w14:paraId="42901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FB6AA0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脱蜡液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FC223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5L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D6B89B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8C8270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800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B1C777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C367A5C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4000</w:t>
            </w:r>
          </w:p>
        </w:tc>
      </w:tr>
      <w:tr w14:paraId="4B2DCE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76A8CF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无水乙醇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E2C11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4A55C4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10C7D8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6E5123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480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48F6138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6720</w:t>
            </w:r>
          </w:p>
        </w:tc>
      </w:tr>
      <w:tr w14:paraId="7D6930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C09529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中性树胶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CD8E7C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41E15E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19313A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55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CACF314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EDC894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1100</w:t>
            </w:r>
          </w:p>
        </w:tc>
      </w:tr>
      <w:tr w14:paraId="36E45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7CAB03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H2SO4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F55BD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5478D8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7E1E356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19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7FB6D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8B944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95</w:t>
            </w:r>
          </w:p>
        </w:tc>
      </w:tr>
      <w:tr w14:paraId="770BCB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92C0C9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氨水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9E9FA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AA485E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CCB3242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43A0DC1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C844C9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</w:t>
            </w:r>
          </w:p>
        </w:tc>
      </w:tr>
      <w:tr w14:paraId="0E3CB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9F07DD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次氯酸钠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33FD9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6EBB76B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F97A12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17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31F5F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A3D158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85</w:t>
            </w:r>
          </w:p>
        </w:tc>
      </w:tr>
      <w:tr w14:paraId="24780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801872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氯仿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4752DB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BFFA2E8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27C129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52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C558BC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2E1EC19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312</w:t>
            </w:r>
          </w:p>
        </w:tc>
      </w:tr>
      <w:tr w14:paraId="59FF0B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8EF442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乙酸乙酯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461AB9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26DCCAE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EF7DDF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BF45066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3D3BEC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</w:t>
            </w:r>
          </w:p>
        </w:tc>
      </w:tr>
      <w:tr w14:paraId="3C1792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BB594">
            <w:pPr>
              <w:widowControl/>
              <w:jc w:val="center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HCl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30A4F6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466CD85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168110F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18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ADA4D7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B6893D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180</w:t>
            </w:r>
          </w:p>
        </w:tc>
      </w:tr>
      <w:tr w14:paraId="7EEDA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4079E">
            <w:pPr>
              <w:widowControl/>
              <w:jc w:val="center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NaOH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5002B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8864CCA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69AE32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B3B5BBC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0E0EDD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</w:t>
            </w:r>
          </w:p>
        </w:tc>
      </w:tr>
      <w:tr w14:paraId="65455C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1BCD71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冰乙酸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1680EA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834286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F4A64EE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17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BB4CA1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C1CEB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170</w:t>
            </w:r>
          </w:p>
        </w:tc>
      </w:tr>
      <w:tr w14:paraId="14933C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D00AB9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二甲苯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B3C865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7E7DB9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5A1B64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29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B0A2E50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1760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6082FD8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51040</w:t>
            </w:r>
          </w:p>
        </w:tc>
      </w:tr>
      <w:tr w14:paraId="045B7D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E926C1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二氯甲烷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82FDD2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D638EA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0762217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53BACA6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89775B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</w:t>
            </w:r>
          </w:p>
        </w:tc>
      </w:tr>
      <w:tr w14:paraId="47BD2F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D93088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环氧乙烷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4B7B99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D90683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BAD4D9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147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84ACEC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96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9EF5AF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14112</w:t>
            </w:r>
          </w:p>
        </w:tc>
      </w:tr>
      <w:tr w14:paraId="6BE61A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5CC262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甲苯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79EED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324B0CC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268DFA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6ABECBC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B7901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156</w:t>
            </w:r>
          </w:p>
        </w:tc>
      </w:tr>
      <w:tr w14:paraId="4FDE5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FAD9D9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甲醇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C97AD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165DD9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6660CA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440B4E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685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C06581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9590</w:t>
            </w:r>
          </w:p>
        </w:tc>
      </w:tr>
      <w:tr w14:paraId="31F42D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CE075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甲醛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CB1F0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CE55AA4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FC4A32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19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3B28E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EC05FD9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114</w:t>
            </w:r>
          </w:p>
        </w:tc>
      </w:tr>
      <w:tr w14:paraId="7422C4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E59718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无水乙醚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BD5D8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500ml,AR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4ABA428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A45068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33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03987CE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EAE9621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330</w:t>
            </w:r>
          </w:p>
        </w:tc>
      </w:tr>
      <w:tr w14:paraId="41EAF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3DD87D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无水乙醇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38F2F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5000ML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32E51F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7F36D0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169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0EFA984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280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8466E8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47320</w:t>
            </w:r>
          </w:p>
        </w:tc>
      </w:tr>
      <w:bookmarkEnd w:id="5"/>
      <w:tr w14:paraId="3A754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23B8F5">
            <w:pPr>
              <w:widowControl/>
              <w:jc w:val="center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bookmarkStart w:id="6" w:name="_Hlk232059026"/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95%</w:t>
            </w:r>
            <w:r>
              <w:rPr>
                <w:rFonts w:hint="eastAsia" w:ascii="宋体" w:hAnsi="宋体" w:eastAsia="宋体" w:cs="Arial"/>
                <w:kern w:val="0"/>
                <w:sz w:val="20"/>
                <w:szCs w:val="20"/>
              </w:rPr>
              <w:t>医用酒精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367E9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500ML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AED5AC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B890BA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684B5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270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963F472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1350</w:t>
            </w:r>
          </w:p>
        </w:tc>
      </w:tr>
      <w:tr w14:paraId="4CA97D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71BCA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硅胶板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27CD57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100*100mm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63A6E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片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DAF89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6.50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89C3D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DD9A6D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325</w:t>
            </w:r>
          </w:p>
        </w:tc>
      </w:tr>
      <w:tr w14:paraId="33D39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6F773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硅胶板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04F5C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100*200mm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08BF9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片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25D5DD">
            <w:pPr>
              <w:widowControl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6.60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C64158">
            <w:pPr>
              <w:widowControl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40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BD5453">
            <w:pPr>
              <w:widowControl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264</w:t>
            </w:r>
          </w:p>
        </w:tc>
      </w:tr>
      <w:tr w14:paraId="703165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E1F9B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氢氧化钠滴定液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5DCE16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50ml 0.1mol/L 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BB52F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C0DF74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95.00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C5E9F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AAD014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665</w:t>
            </w:r>
          </w:p>
        </w:tc>
      </w:tr>
      <w:tr w14:paraId="203E71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D9582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定性滤纸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96E48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11cm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3366E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片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18D85D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12.00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628D7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C098FCE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60</w:t>
            </w:r>
          </w:p>
        </w:tc>
      </w:tr>
      <w:tr w14:paraId="43053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FB09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环保高级封片胶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D9F316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100ml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0DB02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64F03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320.00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4FA7BB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83298E7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1600</w:t>
            </w:r>
          </w:p>
        </w:tc>
      </w:tr>
      <w:tr w14:paraId="5CF98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68403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bookmarkStart w:id="7" w:name="_Hlk232058796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硫代硫酸钠滴定液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3C682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500ml0.10mol/L 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061D8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F9A6C1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148.00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0991F1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64EBE40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740</w:t>
            </w:r>
          </w:p>
        </w:tc>
      </w:tr>
      <w:bookmarkEnd w:id="7"/>
      <w:tr w14:paraId="6541BF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76E59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硫代硫酸钠滴定液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8EF7E3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50ml0.10mol/L 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AC89B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54F142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95.00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BD3BFE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D7F5C1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475</w:t>
            </w:r>
          </w:p>
        </w:tc>
      </w:tr>
      <w:tr w14:paraId="3A462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5D3B4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蜂蜡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F8DF5F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250g</w:t>
            </w: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819D3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FA8E1D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45.00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C7AA7A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BAC708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135</w:t>
            </w:r>
          </w:p>
        </w:tc>
      </w:tr>
      <w:tr w14:paraId="591B0E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FAFBF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异丙醇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E520E5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500ml AR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0D089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瓶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17BBE4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33.00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F14AE3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6D756F8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99</w:t>
            </w:r>
          </w:p>
        </w:tc>
      </w:tr>
      <w:bookmarkEnd w:id="6"/>
      <w:tr w14:paraId="4E718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</w:trPr>
        <w:tc>
          <w:tcPr>
            <w:tcW w:w="25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CB4E32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51B3A4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4982D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8C317F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BD6A5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0DDA37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789670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66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233A20">
            <w:pPr>
              <w:widowControl/>
              <w:ind w:right="440" w:firstLine="2530" w:firstLineChars="1150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合计</w:t>
            </w:r>
          </w:p>
        </w:tc>
        <w:tc>
          <w:tcPr>
            <w:tcW w:w="10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7BA7327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213726.00</w:t>
            </w:r>
          </w:p>
        </w:tc>
      </w:tr>
    </w:tbl>
    <w:p w14:paraId="763FD33F"/>
    <w:p w14:paraId="30854A1D">
      <w:pPr>
        <w:widowControl/>
        <w:numPr>
          <w:ilvl w:val="0"/>
          <w:numId w:val="4"/>
        </w:numPr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商务要求 </w:t>
      </w:r>
    </w:p>
    <w:p w14:paraId="637CCAC0"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（一）供应商资格要求</w:t>
      </w:r>
    </w:p>
    <w:p w14:paraId="70E5C309">
      <w:pPr>
        <w:widowControl/>
        <w:spacing w:line="360" w:lineRule="auto"/>
        <w:ind w:firstLine="357" w:firstLineChars="14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1.投标人须为在中华人民共和国境内依法注册、具有独立承担民事责任能力的法人企业，营业执照经营范围包含对应危险化学品销售内容，证照合法有效、处于存续经营状态。</w:t>
      </w:r>
    </w:p>
    <w:p w14:paraId="64B67A61">
      <w:pPr>
        <w:widowControl/>
        <w:spacing w:line="360" w:lineRule="auto"/>
        <w:ind w:firstLine="357" w:firstLineChars="14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.投标人须具备合法有效的《危险化学品经营许可证》，许可范围覆盖本项目全部采购品类；项目涉及易制毒化学品的，须提供《非药品类易制毒化学品经营备案证明》；涉及易制爆化学品的，须提供对应易制爆化学品经营备案资质，资质有效期覆盖整个合同履约期。生产厂家参与投标的，须额外提供《危险化学品安全生产许可证》。</w:t>
      </w:r>
    </w:p>
    <w:p w14:paraId="6713A7D3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3.投标人须具备完善的危化品专项配送能力，具备对应危险货物运输资质或签约合规危化品运输合作单位，配备专用运输车辆、持证押运人员，可全程实现规范化危化品运输作业。</w:t>
      </w:r>
    </w:p>
    <w:p w14:paraId="42812AC7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4.投标人近三年内无重大安全事故、无产品质量违法记录、无政府采购严重违法失信行为，未被列入“信用中国”失信被执行人、重大税收违法失信主体、严重失信主体名单，未被列入中国政府采购网政府采购失信记录名单。</w:t>
      </w:r>
    </w:p>
    <w:p w14:paraId="3E937FA8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5.本项目不接受联合体投标；单位负责人为同一人或者存在直接控股、管理关系的不同供应商，不得同时参与本项目投标，一经发现，全部作无效投标处理。</w:t>
      </w:r>
    </w:p>
    <w:p w14:paraId="769B2C34"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（二）报价方式与价格约定</w:t>
      </w:r>
    </w:p>
    <w:p w14:paraId="3CDDB40F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本项目所有投标报价均为含税包干综合单价，包含货物成本、税费、危化品专用包装费、防伪标签及MSDS资料费、运输费、装卸搬运费、保险费、院内卸货就位费、验收服务费、应急处置费、售后质保费等一切费用，合同履约期内甲方无需额外支付任何费用。</w:t>
      </w:r>
    </w:p>
    <w:p w14:paraId="4A3A4F44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2.本项目设置单项最高限价及年度预算总限价，投标人单项报价超出对应最高限价的，视为无效投标。采购数量为年度预估量，最终结算以医院实际验收合格供货数量为准，年度结算总额不超过项目预算总额。</w:t>
      </w:r>
    </w:p>
    <w:p w14:paraId="3B68E766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3.本项目为固定单价合同，合同期内单价固定不变，不因原材料涨价、市场波动、运费调整、人工成本上涨等任何因素调整；国家法定税费政策重大调整的，双方另行书面协商。</w:t>
      </w:r>
    </w:p>
    <w:p w14:paraId="71D0F034">
      <w:pPr>
        <w:widowControl/>
        <w:spacing w:line="360" w:lineRule="auto"/>
        <w:ind w:firstLine="240" w:firstLineChars="1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4.投标人报价须真实合理，严禁恶意低价竞标、围标串标、哄抬标价，一经查实，直接作废标处理，列入医院供应商黑名单，三年内禁止参与本院任何采购项目。</w:t>
      </w:r>
      <w:r>
        <w:rPr>
          <w:rFonts w:ascii="宋体" w:hAnsi="宋体" w:eastAsia="宋体" w:cs="宋体"/>
          <w:kern w:val="0"/>
          <w:sz w:val="24"/>
          <w:szCs w:val="24"/>
        </w:rPr>
        <w:t xml:space="preserve"> </w:t>
      </w:r>
    </w:p>
    <w:p w14:paraId="03E2A9B7"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（三）合同期限与供货履约</w:t>
      </w:r>
    </w:p>
    <w:p w14:paraId="0C26174B">
      <w:pPr>
        <w:widowControl/>
        <w:spacing w:line="360" w:lineRule="auto"/>
        <w:ind w:firstLine="357" w:firstLineChars="14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1.本项目合同服务期限为壹年</w:t>
      </w:r>
    </w:p>
    <w:p w14:paraId="542C0067">
      <w:pPr>
        <w:widowControl/>
        <w:spacing w:line="360" w:lineRule="auto"/>
        <w:ind w:firstLine="357" w:firstLineChars="14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2.常规订单供货周期：甲方下达采购订单后，供应商须在24小时至72小时内完成全部货物配送、卸货就位；紧急应急订单须在24小时内送达医院指定地点，保障临床及院内应急使用。</w:t>
      </w:r>
    </w:p>
    <w:p w14:paraId="0E93B65D">
      <w:pPr>
        <w:widowControl/>
        <w:spacing w:line="360" w:lineRule="auto"/>
        <w:ind w:firstLine="357" w:firstLineChars="14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.交货地点为医院指定危化品专用库房、科室指定存放点位，所有货物的运输、卸货、搬运、摆放就位工作均由供应商全权负责，院内搬运全程遵守医院安全管理规定，作业期间人身、财产、安全事故全部由供应商承担全责。</w:t>
      </w:r>
    </w:p>
    <w:p w14:paraId="2B52638C">
      <w:pPr>
        <w:widowControl/>
        <w:spacing w:line="360" w:lineRule="auto"/>
        <w:ind w:firstLine="477" w:firstLineChars="19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4.货物包装必须严格执行《危险货物包装标志》（GB 12268）国家标准，采用防渗漏、防破损、防腐蚀的专用危化品包装，外包装清晰标注品名、危化品标识、警示标语、批号、有效期、生产厂家，每批次货物必须附带完整纸质版安全技术说明书（MSDS）、产品合格证、出厂质检报告。</w:t>
      </w:r>
    </w:p>
    <w:p w14:paraId="76B9E6B5">
      <w:pPr>
        <w:widowControl/>
        <w:spacing w:line="360" w:lineRule="auto"/>
        <w:ind w:firstLine="477" w:firstLineChars="19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5.所有供货货物到货时剩余有效期不得少于6个月，特殊品类经双方提前书面确认的除外，有效期不达标货物一律不予验收，供应商须无条件免费更换。</w:t>
      </w:r>
    </w:p>
    <w:p w14:paraId="2C7D862B"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t>（四）</w:t>
      </w:r>
      <w:r>
        <w:rPr>
          <w:rFonts w:hint="eastAsia" w:ascii="宋体" w:hAnsi="宋体" w:eastAsia="宋体" w:cs="宋体"/>
          <w:kern w:val="0"/>
          <w:sz w:val="24"/>
          <w:szCs w:val="24"/>
        </w:rPr>
        <w:t>质量标准与验收规范</w:t>
      </w:r>
    </w:p>
    <w:p w14:paraId="03C92532">
      <w:pPr>
        <w:widowControl/>
        <w:spacing w:line="360" w:lineRule="auto"/>
        <w:ind w:firstLine="357" w:firstLineChars="14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1.所有供货产品须符合国家现行行业标准、国家标准、危化品安全管理规范及医院使用要求，产品纯度、浓度、规格、性能参数与采购需求一致，无变质、渗漏、破损、过期、掺假等质量问题。</w:t>
      </w:r>
    </w:p>
    <w:p w14:paraId="6D6088BE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2.医院物资管理部门、使用科室，逐批次核对品名、规格、批号、浓度、数量、有效期、包装、资质资料，必要时可随机抽样送检，检测费用由供应商承担。</w:t>
      </w:r>
    </w:p>
    <w:p w14:paraId="684FB87F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3.单批次货物验收不合格的，供应商须在24小时内无条件退换货，承担所有运费、人工成本及医院损失；因不合格产品造成科室停工、设备损坏、安全隐患、环境污染的，供应商承担全部赔偿责任。</w:t>
      </w:r>
    </w:p>
    <w:p w14:paraId="5F94C2DD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4.供应商须建立完整的产品溯源台账，全程记录采购、出库、配送、供货批次信息，随时配合医院及监管部门核查、溯源、取证工作。</w:t>
      </w:r>
    </w:p>
    <w:p w14:paraId="59164C83"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</w:rPr>
        <w:t>（五）结算方式</w:t>
      </w:r>
    </w:p>
    <w:p w14:paraId="152EFCE5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1.本项目实行按月结算模式，每月供货全部验收合格后，供应商整理汇总供货清单、验收单据，开具合法合规、对应品类、对应金额的增值税正规发票，医院审核无误后，按照合同约定时间内完成货款支付。</w:t>
      </w:r>
    </w:p>
    <w:p w14:paraId="601BA01F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2.供应商严禁虚开发票、错开品类发票、拖延开票，发票信息与实际供货不符的，医院有权暂缓付款、不予结算，由此产生的逾期付款责任由供应商自行承担，情节严重的单方解除合同。</w:t>
      </w:r>
    </w:p>
    <w:p w14:paraId="0E2E7109"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（六）安全管理与应急责任</w:t>
      </w:r>
    </w:p>
    <w:p w14:paraId="3AB9D040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运输安全责任：所有危化品运输必须使用合规专用车辆、配备持证押运人员，全程可溯源追踪。货物运输途中发生泄漏、倾倒、交通事故、环境污染、人员损伤等一切事故，全部由供应商承担全部责任及经济、法律赔偿，与医院无涉。</w:t>
      </w:r>
    </w:p>
    <w:p w14:paraId="1B20D7F3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.院内作业安全责任：供应商院内卸货、搬运、交接过程中，须严格遵守医院消防安全、危化品管理规定，规范操作。作业期间引发的火灾、泄漏、中毒、污染、设备损坏、人员伤害等所有安全事故，由供应商全权承担赔偿、整改及法律责任。</w:t>
      </w:r>
    </w:p>
    <w:p w14:paraId="456DFE9E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3.应急处置责任：供应商须设立24小时应急值守电话，接到医院危化品泄漏、异常、安全隐患通知后，须4小时内抵达现场开展专业应急处置、清理整改，所有处置费用、损失赔偿由供应商承担。</w:t>
      </w:r>
    </w:p>
    <w:p w14:paraId="0190D769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4.废弃物合规处置：危化品废弃包装、残液、报废物料等属于危险废物的，供应商须指导医院规范存放，并配合、协助医院完成合规危废处置，确保全程符合环保及危化品管理法规，杜绝环保违规风险。</w:t>
      </w:r>
    </w:p>
    <w:p w14:paraId="6C0A9F35"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（七）违约责任</w:t>
      </w:r>
    </w:p>
    <w:p w14:paraId="5740A64F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1.逾期供货：未按订单时限完成供货的，每逾期一日，按当批次订单金额的0.5%支付违约金；逾期超过7日的，医院有权单方解除合同、没收履约保证金，终止合作，并追偿全部损失。</w:t>
      </w:r>
    </w:p>
    <w:p w14:paraId="37A65A6B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2.质量违约：单批次产品质量不合格、有效期不足、资质资料不全的，无条件退换货；年度累计3次及以上不合格供货，医院有权直接终止合同、没收保证金，将供应商列入黑名单，三年内禁止参与本院采购项目。</w:t>
      </w:r>
    </w:p>
    <w:p w14:paraId="13DCA9B0">
      <w:pPr>
        <w:widowControl/>
        <w:spacing w:line="360" w:lineRule="auto"/>
        <w:ind w:firstLine="240" w:firstLineChars="1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3.擅自调价、断供、停供：合同期内供应商擅自涨价、无故停供、选择性供货的，视为严重违约，医院立即终止合同、没收全部履约保证金，追究经济损失。</w:t>
      </w:r>
    </w:p>
    <w:p w14:paraId="66AD6540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4.安全违约：因供应商供货产品、运输、指导不当引发安全事故、环保处罚、监管通报的，供应商承担全部罚款、赔偿、整改费用，医院有权单方解约并追责。</w:t>
      </w:r>
    </w:p>
    <w:p w14:paraId="793E6FC0">
      <w:pPr>
        <w:widowControl/>
        <w:spacing w:line="360" w:lineRule="auto"/>
        <w:ind w:firstLine="360" w:firstLineChars="15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5.资质失效：履约期内供应商危化品经营、运输、备案等任一资质过期、失效、被吊销的，合同自动终止。</w:t>
      </w:r>
    </w:p>
    <w:p w14:paraId="10E3474B"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（八）其他</w:t>
      </w:r>
    </w:p>
    <w:p w14:paraId="7C2DCC8E">
      <w:pPr>
        <w:widowControl/>
        <w:spacing w:line="360" w:lineRule="auto"/>
        <w:ind w:firstLine="357" w:firstLineChars="14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1.本项目所有商务条款、安全条款、履约条款均为实质性硬性条款，投标文件不响应、偏离、保留的，一律无效投标。</w:t>
      </w:r>
    </w:p>
    <w:p w14:paraId="38F9E919">
      <w:pPr>
        <w:widowControl/>
        <w:spacing w:line="360" w:lineRule="auto"/>
        <w:ind w:firstLine="477" w:firstLineChars="19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2.合同履行过程中产生争议，双方优先友好协商解决；协商不成的，提交医院所在地人民法院诉讼解决。</w:t>
      </w:r>
    </w:p>
    <w:p w14:paraId="21A04F16">
      <w:pPr>
        <w:widowControl/>
        <w:spacing w:line="360" w:lineRule="auto"/>
        <w:ind w:firstLine="477" w:firstLineChars="199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3.本条款未尽事宜，按照《中华人民共和国政府采购法》《危险化学品安全管理条例》《民法典》及相关法律法规执行。</w:t>
      </w:r>
    </w:p>
    <w:p w14:paraId="2E64FBB7">
      <w:pPr>
        <w:rPr>
          <w:rFonts w:ascii="宋体" w:hAnsi="宋体" w:eastAsia="宋体" w:cs="宋体"/>
          <w:kern w:val="0"/>
          <w:sz w:val="24"/>
          <w:szCs w:val="24"/>
        </w:rPr>
      </w:pPr>
    </w:p>
    <w:p w14:paraId="3BFDAA6E">
      <w:bookmarkStart w:id="8" w:name="_GoBack"/>
      <w:bookmarkEnd w:id="8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1AD588"/>
    <w:multiLevelType w:val="singleLevel"/>
    <w:tmpl w:val="A21AD588"/>
    <w:lvl w:ilvl="0" w:tentative="0">
      <w:start w:val="3"/>
      <w:numFmt w:val="chineseCounting"/>
      <w:suff w:val="nothing"/>
      <w:lvlText w:val="%1、"/>
      <w:lvlJc w:val="left"/>
      <w:rPr>
        <w:rFonts w:hint="eastAsia"/>
        <w:lang w:val="en-US"/>
      </w:rPr>
    </w:lvl>
  </w:abstractNum>
  <w:abstractNum w:abstractNumId="1">
    <w:nsid w:val="1F32685A"/>
    <w:multiLevelType w:val="multilevel"/>
    <w:tmpl w:val="1F32685A"/>
    <w:lvl w:ilvl="0" w:tentative="0">
      <w:start w:val="1"/>
      <w:numFmt w:val="decimal"/>
      <w:pStyle w:val="26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>
    <w:nsid w:val="53A63CBD"/>
    <w:multiLevelType w:val="multilevel"/>
    <w:tmpl w:val="53A63CBD"/>
    <w:lvl w:ilvl="0" w:tentative="0">
      <w:start w:val="1"/>
      <w:numFmt w:val="chineseCountingThousand"/>
      <w:suff w:val="nothing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4D82D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64A07EB"/>
    <w:rsid w:val="27B468BB"/>
    <w:rsid w:val="28FB6912"/>
    <w:rsid w:val="293715E5"/>
    <w:rsid w:val="293E4730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F308B1"/>
    <w:rsid w:val="43CA7ECB"/>
    <w:rsid w:val="45736390"/>
    <w:rsid w:val="457E74C5"/>
    <w:rsid w:val="469031CB"/>
    <w:rsid w:val="47173184"/>
    <w:rsid w:val="486E604D"/>
    <w:rsid w:val="491A0EBA"/>
    <w:rsid w:val="4A7B1CDE"/>
    <w:rsid w:val="4DB03590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892A30"/>
    <w:rsid w:val="678C42CF"/>
    <w:rsid w:val="69EC6364"/>
    <w:rsid w:val="6B126E3A"/>
    <w:rsid w:val="6B880FF7"/>
    <w:rsid w:val="6C6B28EF"/>
    <w:rsid w:val="6DFF6DF1"/>
    <w:rsid w:val="6FAA5C3A"/>
    <w:rsid w:val="753B7125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2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"/>
    <w:unhideWhenUsed/>
    <w:qFormat/>
    <w:uiPriority w:val="99"/>
    <w:pPr>
      <w:spacing w:after="120"/>
    </w:pPr>
  </w:style>
  <w:style w:type="paragraph" w:styleId="12">
    <w:name w:val="Plain Text"/>
    <w:basedOn w:val="1"/>
    <w:qFormat/>
    <w:uiPriority w:val="0"/>
    <w:rPr>
      <w:rFonts w:ascii="宋体" w:hAnsi="Courier New"/>
    </w:rPr>
  </w:style>
  <w:style w:type="paragraph" w:styleId="1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toc 1"/>
    <w:basedOn w:val="1"/>
    <w:next w:val="1"/>
    <w:unhideWhenUsed/>
    <w:qFormat/>
    <w:uiPriority w:val="1"/>
  </w:style>
  <w:style w:type="paragraph" w:styleId="15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6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8">
    <w:name w:val="Normal (Web)"/>
    <w:basedOn w:val="1"/>
    <w:qFormat/>
    <w:uiPriority w:val="0"/>
    <w:rPr>
      <w:sz w:val="24"/>
    </w:rPr>
  </w:style>
  <w:style w:type="paragraph" w:styleId="19">
    <w:name w:val="Body Text First Indent"/>
    <w:basedOn w:val="11"/>
    <w:next w:val="16"/>
    <w:qFormat/>
    <w:uiPriority w:val="0"/>
    <w:pPr>
      <w:ind w:firstLine="420" w:firstLineChars="100"/>
    </w:pPr>
  </w:style>
  <w:style w:type="table" w:styleId="21">
    <w:name w:val="Table Grid"/>
    <w:basedOn w:val="20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3">
    <w:name w:val="Strong"/>
    <w:basedOn w:val="22"/>
    <w:qFormat/>
    <w:uiPriority w:val="0"/>
    <w:rPr>
      <w:b/>
      <w:bCs/>
    </w:rPr>
  </w:style>
  <w:style w:type="paragraph" w:customStyle="1" w:styleId="24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5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6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7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8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29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0">
    <w:name w:val="font31"/>
    <w:basedOn w:val="22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1">
    <w:name w:val="List Paragraph"/>
    <w:basedOn w:val="1"/>
    <w:qFormat/>
    <w:uiPriority w:val="34"/>
    <w:pPr>
      <w:ind w:firstLine="420" w:firstLineChars="200"/>
    </w:pPr>
  </w:style>
  <w:style w:type="paragraph" w:customStyle="1" w:styleId="32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5</Pages>
  <Words>1138</Words>
  <Characters>1279</Characters>
  <Lines>0</Lines>
  <Paragraphs>0</Paragraphs>
  <TotalTime>0</TotalTime>
  <ScaleCrop>false</ScaleCrop>
  <LinksUpToDate>false</LinksUpToDate>
  <CharactersWithSpaces>1321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2026-06-26T08:56:05Z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