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4264B8">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highlight w:val="none"/>
          <w:lang w:val="en-US" w:eastAsia="zh-CN"/>
        </w:rPr>
        <w:t>天门市第一人民医院</w:t>
      </w:r>
      <w:r>
        <w:rPr>
          <w:rFonts w:hint="eastAsia" w:asciiTheme="minorEastAsia" w:hAnsiTheme="minorEastAsia" w:eastAsiaTheme="minorEastAsia" w:cstheme="minorEastAsia"/>
          <w:b/>
          <w:sz w:val="36"/>
          <w:szCs w:val="36"/>
        </w:rPr>
        <w:t>网络安全等级保护测评项目</w:t>
      </w:r>
    </w:p>
    <w:p w14:paraId="12535F50">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1"/>
        <w:rPr>
          <w:rFonts w:hint="default" w:asciiTheme="minorEastAsia" w:hAnsiTheme="minorEastAsia" w:eastAsiaTheme="minorEastAsia" w:cstheme="minorEastAsia"/>
          <w:b/>
          <w:sz w:val="36"/>
          <w:szCs w:val="36"/>
          <w:lang w:val="en-US" w:eastAsia="zh-CN"/>
        </w:rPr>
      </w:pPr>
      <w:r>
        <w:rPr>
          <w:rFonts w:hint="eastAsia" w:asciiTheme="minorEastAsia" w:hAnsiTheme="minorEastAsia" w:eastAsiaTheme="minorEastAsia" w:cstheme="minorEastAsia"/>
          <w:b/>
          <w:sz w:val="36"/>
          <w:szCs w:val="36"/>
          <w:lang w:val="en-US" w:eastAsia="zh-CN"/>
        </w:rPr>
        <w:t>采购需求</w:t>
      </w:r>
    </w:p>
    <w:p w14:paraId="3B5EF595">
      <w:pPr>
        <w:pStyle w:val="2"/>
        <w:pageBreakBefore w:val="0"/>
        <w:widowControl w:val="0"/>
        <w:numPr>
          <w:numId w:val="0"/>
        </w:numPr>
        <w:kinsoku/>
        <w:wordWrap/>
        <w:overflowPunct/>
        <w:topLinePunct w:val="0"/>
        <w:bidi w:val="0"/>
        <w:snapToGrid/>
        <w:spacing w:before="0" w:after="0" w:line="400" w:lineRule="exact"/>
        <w:ind w:left="0" w:leftChars="0" w:firstLine="0" w:firstLineChars="0"/>
        <w:textAlignment w:val="auto"/>
        <w:rPr>
          <w:rFonts w:asciiTheme="minorEastAsia" w:hAnsiTheme="minorEastAsia" w:eastAsiaTheme="minorEastAsia" w:cstheme="minorEastAsia"/>
          <w:b w:val="0"/>
          <w:sz w:val="32"/>
        </w:rPr>
      </w:pPr>
      <w:r>
        <w:rPr>
          <w:rFonts w:hint="eastAsia" w:asciiTheme="minorEastAsia" w:hAnsiTheme="minorEastAsia" w:eastAsiaTheme="minorEastAsia" w:cstheme="minorEastAsia"/>
          <w:b w:val="0"/>
          <w:sz w:val="32"/>
        </w:rPr>
        <w:t>一、资格要求</w:t>
      </w:r>
    </w:p>
    <w:p w14:paraId="1DCBB9FC">
      <w:pPr>
        <w:pStyle w:val="12"/>
        <w:pageBreakBefore w:val="0"/>
        <w:widowControl w:val="0"/>
        <w:kinsoku/>
        <w:wordWrap/>
        <w:overflowPunct/>
        <w:topLinePunct w:val="0"/>
        <w:bidi w:val="0"/>
        <w:snapToGrid/>
        <w:spacing w:after="0" w:line="400" w:lineRule="exact"/>
        <w:ind w:left="149" w:right="137" w:firstLine="420"/>
        <w:textAlignment w:val="auto"/>
        <w:rPr>
          <w:sz w:val="24"/>
        </w:rPr>
      </w:pPr>
      <w:r>
        <w:rPr>
          <w:sz w:val="24"/>
        </w:rPr>
        <w:t>1、供应商应具备《政府采购法》第二十二条规定的条件；</w:t>
      </w:r>
    </w:p>
    <w:p w14:paraId="3447CECA">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1）具有独立承担民事责任的能力；</w:t>
      </w:r>
    </w:p>
    <w:p w14:paraId="64E0D6CF">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2）具有良好的商业信誉和健全的财务会计制度；</w:t>
      </w:r>
    </w:p>
    <w:p w14:paraId="426A2B4C">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3）具有履行合同所必需的设备和专业技术能力；</w:t>
      </w:r>
    </w:p>
    <w:p w14:paraId="0B3A55B4">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4）有依法交纳税收和社会保障资金的良好记录；</w:t>
      </w:r>
    </w:p>
    <w:p w14:paraId="3E1F6225">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5）参加政府采购活动前三年内，在经营活动中没有重大违法记录；</w:t>
      </w:r>
    </w:p>
    <w:p w14:paraId="74F4092B">
      <w:pPr>
        <w:pStyle w:val="12"/>
        <w:pageBreakBefore w:val="0"/>
        <w:widowControl w:val="0"/>
        <w:kinsoku/>
        <w:wordWrap/>
        <w:overflowPunct/>
        <w:topLinePunct w:val="0"/>
        <w:bidi w:val="0"/>
        <w:snapToGrid/>
        <w:spacing w:after="0" w:line="400" w:lineRule="exact"/>
        <w:ind w:left="149" w:right="137" w:firstLine="839"/>
        <w:textAlignment w:val="auto"/>
        <w:rPr>
          <w:sz w:val="24"/>
        </w:rPr>
      </w:pPr>
      <w:r>
        <w:rPr>
          <w:sz w:val="24"/>
        </w:rPr>
        <w:t>6）法律、行政法规规定的其他条件。</w:t>
      </w:r>
    </w:p>
    <w:p w14:paraId="35887226">
      <w:pPr>
        <w:pStyle w:val="12"/>
        <w:pageBreakBefore w:val="0"/>
        <w:widowControl w:val="0"/>
        <w:kinsoku/>
        <w:wordWrap/>
        <w:overflowPunct/>
        <w:topLinePunct w:val="0"/>
        <w:bidi w:val="0"/>
        <w:snapToGrid/>
        <w:spacing w:after="0" w:line="400" w:lineRule="exact"/>
        <w:ind w:left="147" w:right="136" w:firstLine="420"/>
        <w:textAlignment w:val="auto"/>
        <w:rPr>
          <w:sz w:val="24"/>
        </w:rPr>
      </w:pPr>
      <w:r>
        <w:rPr>
          <w:sz w:val="24"/>
        </w:rPr>
        <w:t>2、供应商必须具有</w:t>
      </w:r>
      <w:r>
        <w:rPr>
          <w:rFonts w:hint="eastAsia"/>
          <w:sz w:val="24"/>
        </w:rPr>
        <w:t>公安部第三研究所认证发放的《网络安全等级测评与检测评估机构服务认证证书》。</w:t>
      </w:r>
    </w:p>
    <w:p w14:paraId="25D791B0">
      <w:pPr>
        <w:pStyle w:val="12"/>
        <w:pageBreakBefore w:val="0"/>
        <w:widowControl w:val="0"/>
        <w:kinsoku/>
        <w:wordWrap/>
        <w:overflowPunct/>
        <w:topLinePunct w:val="0"/>
        <w:bidi w:val="0"/>
        <w:snapToGrid/>
        <w:spacing w:after="0" w:line="400" w:lineRule="exact"/>
        <w:ind w:left="147" w:right="136" w:firstLine="420"/>
        <w:textAlignment w:val="auto"/>
        <w:rPr>
          <w:sz w:val="24"/>
        </w:rPr>
      </w:pPr>
      <w:r>
        <w:rPr>
          <w:sz w:val="24"/>
        </w:rPr>
        <w:t>3、</w:t>
      </w:r>
      <w:r>
        <w:rPr>
          <w:rFonts w:hint="eastAsia"/>
          <w:sz w:val="24"/>
          <w:lang w:eastAsia="zh-Hans"/>
        </w:rPr>
        <w:t>本项目不接受联合体投标</w:t>
      </w:r>
      <w:r>
        <w:rPr>
          <w:sz w:val="24"/>
          <w:lang w:eastAsia="zh-Hans"/>
        </w:rPr>
        <w:t>。</w:t>
      </w:r>
    </w:p>
    <w:p w14:paraId="6584CDDB">
      <w:pPr>
        <w:keepNext/>
        <w:keepLines/>
        <w:pageBreakBefore w:val="0"/>
        <w:widowControl w:val="0"/>
        <w:kinsoku/>
        <w:wordWrap/>
        <w:overflowPunct/>
        <w:topLinePunct w:val="0"/>
        <w:bidi w:val="0"/>
        <w:snapToGrid/>
        <w:spacing w:before="0" w:after="0" w:line="400" w:lineRule="exact"/>
        <w:jc w:val="both"/>
        <w:textAlignment w:val="auto"/>
        <w:outlineLvl w:val="0"/>
        <w:rPr>
          <w:rFonts w:ascii="宋体" w:hAnsi="宋体" w:eastAsia="宋体" w:cs="宋体"/>
          <w:b w:val="0"/>
          <w:bCs/>
          <w:kern w:val="44"/>
          <w:sz w:val="32"/>
          <w:szCs w:val="44"/>
          <w:lang w:val="en-US" w:eastAsia="zh-CN" w:bidi="ar-SA"/>
        </w:rPr>
      </w:pPr>
      <w:bookmarkStart w:id="0" w:name="_Toc375126147"/>
      <w:bookmarkStart w:id="1" w:name="_Toc358372990"/>
      <w:r>
        <w:rPr>
          <w:rFonts w:hint="eastAsia" w:ascii="宋体" w:hAnsi="宋体" w:eastAsia="宋体" w:cs="宋体"/>
          <w:b w:val="0"/>
          <w:bCs/>
          <w:kern w:val="44"/>
          <w:sz w:val="32"/>
          <w:szCs w:val="44"/>
          <w:lang w:val="en-US" w:eastAsia="zh-CN" w:bidi="ar-SA"/>
        </w:rPr>
        <w:t>二、项目概况</w:t>
      </w:r>
      <w:bookmarkEnd w:id="0"/>
      <w:bookmarkEnd w:id="1"/>
    </w:p>
    <w:p w14:paraId="75167E3A">
      <w:pPr>
        <w:pageBreakBefore w:val="0"/>
        <w:widowControl w:val="0"/>
        <w:kinsoku/>
        <w:wordWrap/>
        <w:overflowPunct/>
        <w:topLinePunct w:val="0"/>
        <w:bidi w:val="0"/>
        <w:snapToGrid/>
        <w:spacing w:line="400" w:lineRule="exact"/>
        <w:ind w:firstLine="720" w:firstLineChars="300"/>
        <w:jc w:val="both"/>
        <w:textAlignment w:val="auto"/>
        <w:outlineLvl w:val="1"/>
        <w:rPr>
          <w:rFonts w:ascii="Calibri" w:hAnsi="Calibri" w:eastAsia="宋体" w:cs="Times New Roman"/>
          <w:sz w:val="24"/>
        </w:rPr>
      </w:pPr>
      <w:r>
        <w:rPr>
          <w:rFonts w:hint="eastAsia" w:ascii="Times New Roman" w:hAnsi="Times New Roman" w:eastAsia="宋体" w:cs="Times New Roman"/>
          <w:kern w:val="2"/>
          <w:sz w:val="24"/>
          <w:szCs w:val="24"/>
          <w:lang w:val="en-US" w:eastAsia="zh-CN" w:bidi="ar-SA"/>
        </w:rPr>
        <w:t>1、项目名称：天门市第一人民医院</w:t>
      </w:r>
      <w:r>
        <w:rPr>
          <w:rFonts w:hint="eastAsia" w:ascii="Times New Roman" w:hAnsi="Times New Roman" w:eastAsia="宋体" w:cs="Times New Roman"/>
          <w:kern w:val="2"/>
          <w:sz w:val="24"/>
          <w:szCs w:val="24"/>
          <w:lang w:val="en-US" w:eastAsia="zh-Hans" w:bidi="ar-SA"/>
        </w:rPr>
        <w:t>网络安全等级保护测评项目</w:t>
      </w:r>
    </w:p>
    <w:p w14:paraId="5B1D350A">
      <w:pPr>
        <w:pageBreakBefore w:val="0"/>
        <w:widowControl w:val="0"/>
        <w:kinsoku/>
        <w:wordWrap/>
        <w:overflowPunct/>
        <w:topLinePunct w:val="0"/>
        <w:bidi w:val="0"/>
        <w:snapToGrid/>
        <w:spacing w:after="0" w:line="400" w:lineRule="exact"/>
        <w:ind w:right="136" w:firstLine="720" w:firstLineChars="300"/>
        <w:jc w:val="both"/>
        <w:textAlignment w:val="auto"/>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 xml:space="preserve">2、项目工期: </w:t>
      </w:r>
      <w:r>
        <w:rPr>
          <w:rFonts w:hint="eastAsia" w:ascii="Times New Roman" w:hAnsi="Times New Roman" w:eastAsia="宋体" w:cs="Times New Roman"/>
          <w:kern w:val="2"/>
          <w:sz w:val="24"/>
          <w:szCs w:val="24"/>
          <w:lang w:val="en-US" w:eastAsia="zh-Hans" w:bidi="ar-SA"/>
        </w:rPr>
        <w:t>项目具备测评条件之日起</w:t>
      </w:r>
      <w:r>
        <w:rPr>
          <w:rFonts w:ascii="Times New Roman" w:hAnsi="Times New Roman" w:eastAsia="宋体" w:cs="Times New Roman"/>
          <w:kern w:val="2"/>
          <w:sz w:val="24"/>
          <w:szCs w:val="24"/>
          <w:lang w:val="en-US" w:eastAsia="zh-Hans" w:bidi="ar-SA"/>
        </w:rPr>
        <w:t>60</w:t>
      </w:r>
      <w:r>
        <w:rPr>
          <w:rFonts w:hint="eastAsia" w:ascii="Times New Roman" w:hAnsi="Times New Roman" w:eastAsia="宋体" w:cs="Times New Roman"/>
          <w:kern w:val="2"/>
          <w:sz w:val="24"/>
          <w:szCs w:val="24"/>
          <w:lang w:val="en-US" w:eastAsia="zh-Hans" w:bidi="ar-SA"/>
        </w:rPr>
        <w:t>个工作日</w:t>
      </w:r>
      <w:r>
        <w:rPr>
          <w:rFonts w:hint="eastAsia" w:ascii="Times New Roman" w:hAnsi="Times New Roman" w:eastAsia="宋体" w:cs="Times New Roman"/>
          <w:kern w:val="2"/>
          <w:sz w:val="24"/>
          <w:szCs w:val="24"/>
          <w:lang w:val="en-US" w:eastAsia="zh-CN" w:bidi="ar-SA"/>
        </w:rPr>
        <w:t>内完成等级测评工作(网络安全建设整改不含在项目工期内)</w:t>
      </w:r>
    </w:p>
    <w:p w14:paraId="2877EBB0">
      <w:pPr>
        <w:keepNext/>
        <w:keepLines/>
        <w:pageBreakBefore w:val="0"/>
        <w:widowControl w:val="0"/>
        <w:kinsoku/>
        <w:wordWrap/>
        <w:overflowPunct/>
        <w:topLinePunct w:val="0"/>
        <w:bidi w:val="0"/>
        <w:snapToGrid/>
        <w:spacing w:before="0" w:after="0" w:line="400" w:lineRule="exact"/>
        <w:jc w:val="both"/>
        <w:textAlignment w:val="auto"/>
        <w:outlineLvl w:val="0"/>
        <w:rPr>
          <w:rFonts w:ascii="宋体" w:hAnsi="宋体" w:eastAsia="宋体" w:cs="宋体"/>
          <w:b/>
          <w:bCs/>
          <w:kern w:val="44"/>
          <w:sz w:val="32"/>
          <w:szCs w:val="44"/>
          <w:lang w:val="en-US" w:eastAsia="zh-CN" w:bidi="ar-SA"/>
        </w:rPr>
      </w:pPr>
      <w:r>
        <w:rPr>
          <w:rFonts w:hint="eastAsia" w:ascii="宋体" w:hAnsi="宋体" w:eastAsia="宋体" w:cs="宋体"/>
          <w:b/>
          <w:bCs/>
          <w:kern w:val="44"/>
          <w:sz w:val="32"/>
          <w:szCs w:val="44"/>
          <w:lang w:val="en-US" w:eastAsia="zh-CN" w:bidi="ar-SA"/>
        </w:rPr>
        <w:t>三、</w:t>
      </w:r>
      <w:r>
        <w:rPr>
          <w:rFonts w:hint="eastAsia" w:ascii="宋体" w:hAnsi="宋体" w:eastAsia="宋体" w:cs="宋体"/>
          <w:b w:val="0"/>
          <w:bCs w:val="0"/>
          <w:kern w:val="2"/>
          <w:sz w:val="32"/>
          <w:szCs w:val="32"/>
          <w:lang w:val="en-US" w:eastAsia="zh-CN" w:bidi="ar-SA"/>
        </w:rPr>
        <w:t>项目需求</w:t>
      </w:r>
      <w:r>
        <w:rPr>
          <w:rFonts w:hint="eastAsia" w:ascii="宋体" w:hAnsi="宋体" w:eastAsia="宋体" w:cs="宋体"/>
          <w:b w:val="0"/>
          <w:bCs w:val="0"/>
          <w:kern w:val="2"/>
          <w:sz w:val="24"/>
          <w:szCs w:val="22"/>
          <w:lang w:val="en-US" w:eastAsia="zh-CN" w:bidi="ar-SA"/>
        </w:rPr>
        <w:t xml:space="preserve"> </w:t>
      </w:r>
      <w:r>
        <w:rPr>
          <w:rFonts w:hint="eastAsia" w:ascii="宋体" w:hAnsi="宋体" w:eastAsia="宋体" w:cs="宋体"/>
          <w:b/>
          <w:bCs/>
          <w:kern w:val="44"/>
          <w:sz w:val="32"/>
          <w:szCs w:val="44"/>
          <w:lang w:val="en-US" w:eastAsia="zh-CN" w:bidi="ar-SA"/>
        </w:rPr>
        <w:t xml:space="preserve">    </w:t>
      </w:r>
    </w:p>
    <w:p w14:paraId="5C7F55AE">
      <w:pPr>
        <w:pageBreakBefore w:val="0"/>
        <w:widowControl w:val="0"/>
        <w:kinsoku/>
        <w:wordWrap/>
        <w:overflowPunct/>
        <w:topLinePunct w:val="0"/>
        <w:bidi w:val="0"/>
        <w:snapToGrid/>
        <w:spacing w:after="0" w:line="400" w:lineRule="exact"/>
        <w:ind w:firstLine="420"/>
        <w:jc w:val="both"/>
        <w:textAlignment w:val="auto"/>
        <w:rPr>
          <w:rFonts w:hint="default" w:ascii="宋体" w:hAnsi="宋体" w:eastAsia="宋体" w:cs="宋体"/>
          <w:kern w:val="2"/>
          <w:sz w:val="24"/>
          <w:szCs w:val="22"/>
          <w:lang w:val="en-US" w:eastAsia="zh-Hans" w:bidi="ar-SA"/>
        </w:rPr>
      </w:pPr>
      <w:r>
        <w:rPr>
          <w:rFonts w:hint="eastAsia" w:ascii="宋体" w:hAnsi="宋体" w:eastAsia="宋体" w:cs="宋体"/>
          <w:kern w:val="2"/>
          <w:sz w:val="24"/>
          <w:szCs w:val="22"/>
          <w:lang w:val="en-US" w:eastAsia="zh-CN" w:bidi="ar-SA"/>
        </w:rPr>
        <w:t>按照《中华人民共和国网络安全法》要求“国家实行网络安全等级保护制度。网络运营者应当按照网络安全等级保护制度的要求，履行</w:t>
      </w:r>
      <w:r>
        <w:rPr>
          <w:rFonts w:hint="eastAsia" w:ascii="宋体" w:hAnsi="宋体" w:eastAsia="宋体" w:cs="宋体"/>
          <w:kern w:val="2"/>
          <w:sz w:val="24"/>
          <w:szCs w:val="22"/>
          <w:lang w:val="en-US" w:eastAsia="zh-Hans" w:bidi="ar-SA"/>
        </w:rPr>
        <w:t>网络</w:t>
      </w:r>
      <w:r>
        <w:rPr>
          <w:rFonts w:hint="eastAsia" w:ascii="宋体" w:hAnsi="宋体" w:eastAsia="宋体" w:cs="宋体"/>
          <w:kern w:val="2"/>
          <w:sz w:val="24"/>
          <w:szCs w:val="22"/>
          <w:lang w:val="en-US" w:eastAsia="zh-CN" w:bidi="ar-SA"/>
        </w:rPr>
        <w:t>安全保护义务，保障网络免受干扰、破坏或者未经授权的访问，防止网络数据泄露或者被窃取、篡改。”以及《信息安全等级保护管理办法》</w:t>
      </w:r>
      <w:r>
        <w:rPr>
          <w:rFonts w:hint="eastAsia" w:ascii="宋体" w:hAnsi="宋体" w:eastAsia="宋体" w:cs="宋体"/>
          <w:kern w:val="2"/>
          <w:sz w:val="24"/>
          <w:szCs w:val="22"/>
          <w:lang w:val="en-US" w:eastAsia="zh-Hans" w:bidi="ar-SA"/>
        </w:rPr>
        <w:t>的</w:t>
      </w:r>
      <w:r>
        <w:rPr>
          <w:rFonts w:hint="eastAsia" w:ascii="宋体" w:hAnsi="宋体" w:eastAsia="宋体" w:cs="宋体"/>
          <w:kern w:val="2"/>
          <w:sz w:val="24"/>
          <w:szCs w:val="22"/>
          <w:lang w:val="en-US" w:eastAsia="zh-CN" w:bidi="ar-SA"/>
        </w:rPr>
        <w:t>要求选择测评机构</w:t>
      </w:r>
      <w:r>
        <w:rPr>
          <w:rFonts w:hint="eastAsia" w:ascii="宋体" w:hAnsi="宋体" w:eastAsia="宋体" w:cs="宋体"/>
          <w:kern w:val="2"/>
          <w:sz w:val="24"/>
          <w:szCs w:val="22"/>
          <w:lang w:val="en-US" w:eastAsia="zh-Hans" w:bidi="ar-SA"/>
        </w:rPr>
        <w:t>开展等级保护测评工作</w:t>
      </w:r>
      <w:r>
        <w:rPr>
          <w:rFonts w:hint="default" w:ascii="宋体" w:hAnsi="宋体" w:eastAsia="宋体" w:cs="宋体"/>
          <w:kern w:val="2"/>
          <w:sz w:val="24"/>
          <w:szCs w:val="22"/>
          <w:lang w:val="en-US" w:eastAsia="zh-Hans" w:bidi="ar-SA"/>
        </w:rPr>
        <w:t>。</w:t>
      </w:r>
    </w:p>
    <w:p w14:paraId="6CEF54B6">
      <w:pPr>
        <w:pageBreakBefore w:val="0"/>
        <w:widowControl w:val="0"/>
        <w:kinsoku/>
        <w:wordWrap/>
        <w:overflowPunct/>
        <w:topLinePunct w:val="0"/>
        <w:bidi w:val="0"/>
        <w:snapToGrid/>
        <w:spacing w:after="0" w:line="400" w:lineRule="exact"/>
        <w:ind w:firstLine="420"/>
        <w:jc w:val="both"/>
        <w:textAlignment w:val="auto"/>
        <w:rPr>
          <w:rFonts w:ascii="宋体" w:hAnsi="宋体" w:eastAsia="宋体" w:cs="宋体"/>
          <w:kern w:val="2"/>
          <w:sz w:val="24"/>
          <w:szCs w:val="22"/>
          <w:lang w:val="en-US" w:eastAsia="zh-CN" w:bidi="ar-SA"/>
        </w:rPr>
      </w:pPr>
      <w:r>
        <w:rPr>
          <w:rFonts w:hint="eastAsia" w:ascii="宋体" w:hAnsi="宋体" w:eastAsia="宋体" w:cs="宋体"/>
          <w:kern w:val="2"/>
          <w:sz w:val="24"/>
          <w:szCs w:val="22"/>
          <w:lang w:val="en-US" w:eastAsia="zh-Hans" w:bidi="ar-SA"/>
        </w:rPr>
        <w:t>为做</w:t>
      </w:r>
      <w:r>
        <w:rPr>
          <w:rFonts w:hint="eastAsia" w:ascii="宋体" w:hAnsi="宋体" w:eastAsia="宋体" w:cs="宋体"/>
          <w:kern w:val="2"/>
          <w:sz w:val="24"/>
          <w:szCs w:val="22"/>
          <w:lang w:val="en-US" w:eastAsia="zh-CN" w:bidi="ar-SA"/>
        </w:rPr>
        <w:t>本单位</w:t>
      </w:r>
      <w:r>
        <w:rPr>
          <w:rFonts w:hint="eastAsia" w:ascii="宋体" w:hAnsi="宋体" w:eastAsia="宋体" w:cs="宋体"/>
          <w:kern w:val="2"/>
          <w:sz w:val="24"/>
          <w:szCs w:val="22"/>
          <w:lang w:val="en-US" w:eastAsia="zh-Hans" w:bidi="ar-SA"/>
        </w:rPr>
        <w:t>网络安全保障工作</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Hans" w:bidi="ar-SA"/>
        </w:rPr>
        <w:t>按照“全面排查风险</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Hans" w:bidi="ar-SA"/>
        </w:rPr>
        <w:t>及时发现预警</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Hans" w:bidi="ar-SA"/>
        </w:rPr>
        <w:t>快速有效处置</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Hans" w:bidi="ar-SA"/>
        </w:rPr>
        <w:t>确保万无一失”的工作目标</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CN" w:bidi="ar-SA"/>
        </w:rPr>
        <w:t>确保</w:t>
      </w:r>
      <w:r>
        <w:rPr>
          <w:rFonts w:hint="eastAsia" w:ascii="宋体" w:hAnsi="宋体" w:eastAsia="宋体" w:cs="宋体"/>
          <w:kern w:val="2"/>
          <w:sz w:val="24"/>
          <w:szCs w:val="22"/>
          <w:lang w:val="en-US" w:eastAsia="zh-Hans" w:bidi="ar-SA"/>
        </w:rPr>
        <w:t>关键</w:t>
      </w:r>
      <w:r>
        <w:rPr>
          <w:rFonts w:hint="eastAsia" w:ascii="宋体" w:hAnsi="宋体" w:eastAsia="宋体" w:cs="宋体"/>
          <w:kern w:val="2"/>
          <w:sz w:val="24"/>
          <w:szCs w:val="22"/>
          <w:lang w:val="en-US" w:eastAsia="zh-CN" w:bidi="ar-SA"/>
        </w:rPr>
        <w:t>敏感</w:t>
      </w:r>
      <w:r>
        <w:rPr>
          <w:rFonts w:hint="eastAsia" w:ascii="宋体" w:hAnsi="宋体" w:eastAsia="宋体" w:cs="宋体"/>
          <w:kern w:val="2"/>
          <w:sz w:val="24"/>
          <w:szCs w:val="22"/>
          <w:lang w:val="en-US" w:eastAsia="zh-Hans" w:bidi="ar-SA"/>
        </w:rPr>
        <w:t>时</w:t>
      </w:r>
      <w:r>
        <w:rPr>
          <w:rFonts w:hint="eastAsia" w:ascii="宋体" w:hAnsi="宋体" w:eastAsia="宋体" w:cs="宋体"/>
          <w:kern w:val="2"/>
          <w:sz w:val="24"/>
          <w:szCs w:val="22"/>
          <w:lang w:val="en-US" w:eastAsia="zh-CN" w:bidi="ar-SA"/>
        </w:rPr>
        <w:t>期不发生网络安全事件，</w:t>
      </w:r>
      <w:r>
        <w:rPr>
          <w:rFonts w:hint="eastAsia" w:ascii="宋体" w:hAnsi="宋体" w:eastAsia="宋体" w:cs="宋体"/>
          <w:kern w:val="2"/>
          <w:sz w:val="24"/>
          <w:szCs w:val="22"/>
          <w:lang w:val="en-US" w:eastAsia="zh-Hans" w:bidi="ar-SA"/>
        </w:rPr>
        <w:t>保障重要信息系统平稳运行</w:t>
      </w:r>
      <w:r>
        <w:rPr>
          <w:rFonts w:hint="default" w:ascii="宋体" w:hAnsi="宋体" w:eastAsia="宋体" w:cs="宋体"/>
          <w:kern w:val="2"/>
          <w:sz w:val="24"/>
          <w:szCs w:val="22"/>
          <w:lang w:val="en-US" w:eastAsia="zh-Hans" w:bidi="ar-SA"/>
        </w:rPr>
        <w:t>。</w:t>
      </w:r>
      <w:r>
        <w:rPr>
          <w:rFonts w:hint="eastAsia" w:ascii="宋体" w:hAnsi="宋体" w:eastAsia="宋体" w:cs="宋体"/>
          <w:kern w:val="2"/>
          <w:sz w:val="24"/>
          <w:szCs w:val="22"/>
          <w:lang w:val="en-US" w:eastAsia="zh-CN" w:bidi="ar-SA"/>
        </w:rPr>
        <w:t>拟对重要系统开展等级保护测评工作，测评机构需要安排系统分析师对重要系统出具切实有效的整改方案、并提供整改咨询方案；对整改后的信息系统进行回归测评，最终达到国家等级保护相关要求</w:t>
      </w:r>
      <w:r>
        <w:rPr>
          <w:rFonts w:hint="default" w:ascii="宋体" w:hAnsi="宋体" w:eastAsia="宋体" w:cs="宋体"/>
          <w:kern w:val="2"/>
          <w:sz w:val="24"/>
          <w:szCs w:val="22"/>
          <w:lang w:val="en-US" w:eastAsia="zh-CN" w:bidi="ar-SA"/>
        </w:rPr>
        <w:t>。</w:t>
      </w:r>
    </w:p>
    <w:p w14:paraId="031D6BE0">
      <w:pPr>
        <w:keepNext/>
        <w:keepLines/>
        <w:pageBreakBefore w:val="0"/>
        <w:widowControl w:val="0"/>
        <w:kinsoku/>
        <w:wordWrap/>
        <w:overflowPunct/>
        <w:topLinePunct w:val="0"/>
        <w:bidi w:val="0"/>
        <w:snapToGrid/>
        <w:spacing w:before="0" w:after="0" w:line="400" w:lineRule="exact"/>
        <w:jc w:val="both"/>
        <w:textAlignment w:val="auto"/>
        <w:outlineLvl w:val="2"/>
        <w:rPr>
          <w:rFonts w:ascii="宋体" w:hAnsi="宋体" w:eastAsia="宋体" w:cs="宋体"/>
          <w:b/>
          <w:bCs w:val="0"/>
          <w:kern w:val="2"/>
          <w:sz w:val="30"/>
          <w:szCs w:val="30"/>
          <w:lang w:val="en-US" w:eastAsia="zh-CN" w:bidi="ar-SA"/>
        </w:rPr>
      </w:pPr>
      <w:r>
        <w:rPr>
          <w:rFonts w:hint="eastAsia" w:ascii="宋体" w:hAnsi="宋体" w:eastAsia="宋体" w:cs="宋体"/>
          <w:b w:val="0"/>
          <w:bCs w:val="0"/>
          <w:kern w:val="2"/>
          <w:sz w:val="32"/>
          <w:szCs w:val="32"/>
          <w:lang w:val="en-US" w:eastAsia="zh-CN" w:bidi="ar-SA"/>
        </w:rPr>
        <w:t>1、工作内容</w:t>
      </w:r>
    </w:p>
    <w:p w14:paraId="0710E2E0">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1.1等级保护服务内容</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5"/>
        <w:gridCol w:w="6299"/>
        <w:gridCol w:w="1772"/>
      </w:tblGrid>
      <w:tr w14:paraId="0016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54" w:type="pct"/>
          </w:tcPr>
          <w:p w14:paraId="4CEC791B">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rPr>
              <w:t>序号</w:t>
            </w:r>
          </w:p>
        </w:tc>
        <w:tc>
          <w:tcPr>
            <w:tcW w:w="3391" w:type="pct"/>
          </w:tcPr>
          <w:p w14:paraId="544ABDEF">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rPr>
              <w:t>系统名称</w:t>
            </w:r>
          </w:p>
        </w:tc>
        <w:tc>
          <w:tcPr>
            <w:tcW w:w="954" w:type="pct"/>
          </w:tcPr>
          <w:p w14:paraId="4CB81716">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rPr>
              <w:t>备注</w:t>
            </w:r>
          </w:p>
        </w:tc>
      </w:tr>
      <w:tr w14:paraId="03FB5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654" w:type="pct"/>
            <w:vAlign w:val="center"/>
          </w:tcPr>
          <w:p w14:paraId="036E368C">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rPr>
              <w:t>1</w:t>
            </w:r>
          </w:p>
        </w:tc>
        <w:tc>
          <w:tcPr>
            <w:tcW w:w="3391" w:type="pct"/>
            <w:shd w:val="clear" w:color="auto" w:fill="auto"/>
            <w:vAlign w:val="center"/>
          </w:tcPr>
          <w:p w14:paraId="533D3C7A">
            <w:pPr>
              <w:pageBreakBefore w:val="0"/>
              <w:widowControl w:val="0"/>
              <w:kinsoku/>
              <w:wordWrap/>
              <w:overflowPunct/>
              <w:topLinePunct w:val="0"/>
              <w:bidi w:val="0"/>
              <w:snapToGrid/>
              <w:spacing w:line="400" w:lineRule="exact"/>
              <w:jc w:val="center"/>
              <w:textAlignment w:val="auto"/>
              <w:rPr>
                <w:rFonts w:ascii="宋体" w:hAnsi="宋体" w:eastAsia="宋体" w:cs="宋体"/>
                <w:sz w:val="24"/>
                <w:lang w:eastAsia="zh-Hans"/>
              </w:rPr>
            </w:pPr>
            <w:r>
              <w:rPr>
                <w:rFonts w:hint="eastAsia" w:ascii="宋体" w:hAnsi="宋体" w:eastAsia="宋体" w:cs="宋体"/>
                <w:i w:val="0"/>
                <w:iCs w:val="0"/>
                <w:color w:val="000000"/>
                <w:sz w:val="24"/>
                <w:szCs w:val="24"/>
                <w:highlight w:val="none"/>
                <w:lang w:val="en-US" w:eastAsia="zh-CN"/>
              </w:rPr>
              <w:t>信息集成平台</w:t>
            </w:r>
          </w:p>
        </w:tc>
        <w:tc>
          <w:tcPr>
            <w:tcW w:w="954" w:type="pct"/>
            <w:shd w:val="clear" w:color="auto" w:fill="auto"/>
            <w:vAlign w:val="center"/>
          </w:tcPr>
          <w:p w14:paraId="708CBF1C">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ascii="宋体" w:hAnsi="宋体" w:eastAsia="宋体" w:cs="宋体"/>
                <w:sz w:val="24"/>
              </w:rPr>
              <w:t>三级</w:t>
            </w:r>
          </w:p>
        </w:tc>
      </w:tr>
      <w:tr w14:paraId="48538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54" w:type="pct"/>
            <w:vAlign w:val="center"/>
          </w:tcPr>
          <w:p w14:paraId="5598C079">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w:t>
            </w:r>
          </w:p>
        </w:tc>
        <w:tc>
          <w:tcPr>
            <w:tcW w:w="3391" w:type="pct"/>
            <w:shd w:val="clear" w:color="auto" w:fill="auto"/>
            <w:vAlign w:val="center"/>
          </w:tcPr>
          <w:p w14:paraId="33670027">
            <w:pPr>
              <w:pageBreakBefore w:val="0"/>
              <w:widowControl w:val="0"/>
              <w:kinsoku/>
              <w:wordWrap/>
              <w:overflowPunct/>
              <w:topLinePunct w:val="0"/>
              <w:bidi w:val="0"/>
              <w:snapToGrid/>
              <w:spacing w:line="400" w:lineRule="exact"/>
              <w:jc w:val="center"/>
              <w:textAlignment w:val="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临床实验室管理系统</w:t>
            </w:r>
          </w:p>
        </w:tc>
        <w:tc>
          <w:tcPr>
            <w:tcW w:w="954" w:type="pct"/>
            <w:shd w:val="clear" w:color="auto" w:fill="auto"/>
            <w:vAlign w:val="center"/>
          </w:tcPr>
          <w:p w14:paraId="4BBF220A">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三级</w:t>
            </w:r>
          </w:p>
        </w:tc>
      </w:tr>
      <w:tr w14:paraId="3666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54" w:type="pct"/>
            <w:vAlign w:val="center"/>
          </w:tcPr>
          <w:p w14:paraId="2C91A46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3</w:t>
            </w:r>
          </w:p>
        </w:tc>
        <w:tc>
          <w:tcPr>
            <w:tcW w:w="3391" w:type="pct"/>
            <w:shd w:val="clear" w:color="auto" w:fill="auto"/>
            <w:vAlign w:val="center"/>
          </w:tcPr>
          <w:p w14:paraId="076099E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影像管理系统</w:t>
            </w:r>
          </w:p>
        </w:tc>
        <w:tc>
          <w:tcPr>
            <w:tcW w:w="954" w:type="pct"/>
            <w:shd w:val="clear" w:color="auto" w:fill="auto"/>
            <w:vAlign w:val="center"/>
          </w:tcPr>
          <w:p w14:paraId="3BD441F5">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三级</w:t>
            </w:r>
          </w:p>
        </w:tc>
      </w:tr>
      <w:tr w14:paraId="0C105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654" w:type="pct"/>
            <w:vAlign w:val="center"/>
          </w:tcPr>
          <w:p w14:paraId="03E6B24F">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4</w:t>
            </w:r>
          </w:p>
        </w:tc>
        <w:tc>
          <w:tcPr>
            <w:tcW w:w="3391" w:type="pct"/>
            <w:shd w:val="clear" w:color="auto" w:fill="auto"/>
            <w:vAlign w:val="center"/>
          </w:tcPr>
          <w:p w14:paraId="41EF9226">
            <w:pPr>
              <w:pageBreakBefore w:val="0"/>
              <w:widowControl w:val="0"/>
              <w:kinsoku/>
              <w:wordWrap/>
              <w:overflowPunct/>
              <w:topLinePunct w:val="0"/>
              <w:bidi w:val="0"/>
              <w:snapToGrid/>
              <w:spacing w:line="400" w:lineRule="exact"/>
              <w:jc w:val="center"/>
              <w:textAlignment w:val="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互联网医院系统</w:t>
            </w:r>
          </w:p>
        </w:tc>
        <w:tc>
          <w:tcPr>
            <w:tcW w:w="954" w:type="pct"/>
            <w:shd w:val="clear" w:color="auto" w:fill="auto"/>
            <w:vAlign w:val="center"/>
          </w:tcPr>
          <w:p w14:paraId="111E289F">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lang w:val="en-US" w:eastAsia="zh-CN"/>
              </w:rPr>
              <w:t>三级</w:t>
            </w:r>
          </w:p>
        </w:tc>
      </w:tr>
      <w:tr w14:paraId="759B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654" w:type="pct"/>
            <w:vAlign w:val="center"/>
          </w:tcPr>
          <w:p w14:paraId="6A4B2FD5">
            <w:pPr>
              <w:pageBreakBefore w:val="0"/>
              <w:widowControl w:val="0"/>
              <w:kinsoku/>
              <w:wordWrap/>
              <w:overflowPunct/>
              <w:topLinePunct w:val="0"/>
              <w:bidi w:val="0"/>
              <w:snapToGrid/>
              <w:spacing w:line="400" w:lineRule="exact"/>
              <w:jc w:val="center"/>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5</w:t>
            </w:r>
          </w:p>
        </w:tc>
        <w:tc>
          <w:tcPr>
            <w:tcW w:w="3391" w:type="pct"/>
            <w:shd w:val="clear" w:color="auto" w:fill="auto"/>
            <w:vAlign w:val="center"/>
          </w:tcPr>
          <w:p w14:paraId="3063B05D">
            <w:pPr>
              <w:pageBreakBefore w:val="0"/>
              <w:widowControl w:val="0"/>
              <w:kinsoku/>
              <w:wordWrap/>
              <w:overflowPunct/>
              <w:topLinePunct w:val="0"/>
              <w:bidi w:val="0"/>
              <w:snapToGrid/>
              <w:spacing w:line="400" w:lineRule="exact"/>
              <w:jc w:val="center"/>
              <w:textAlignment w:val="auto"/>
              <w:rPr>
                <w:rFonts w:hint="eastAsia" w:ascii="宋体" w:hAnsi="宋体" w:eastAsia="宋体" w:cs="宋体"/>
                <w:i w:val="0"/>
                <w:iCs w:val="0"/>
                <w:color w:val="000000"/>
                <w:sz w:val="24"/>
                <w:szCs w:val="24"/>
                <w:highlight w:val="none"/>
                <w:lang w:val="en-US" w:eastAsia="zh-CN"/>
              </w:rPr>
            </w:pPr>
            <w:r>
              <w:rPr>
                <w:rFonts w:hint="eastAsia" w:ascii="宋体" w:hAnsi="宋体" w:eastAsia="宋体" w:cs="宋体"/>
                <w:i w:val="0"/>
                <w:iCs w:val="0"/>
                <w:color w:val="000000"/>
                <w:sz w:val="24"/>
                <w:szCs w:val="24"/>
                <w:highlight w:val="none"/>
                <w:lang w:val="en-US" w:eastAsia="zh-CN"/>
              </w:rPr>
              <w:t>临床一体化信息系统</w:t>
            </w:r>
          </w:p>
        </w:tc>
        <w:tc>
          <w:tcPr>
            <w:tcW w:w="954" w:type="pct"/>
            <w:shd w:val="clear" w:color="auto" w:fill="auto"/>
            <w:vAlign w:val="center"/>
          </w:tcPr>
          <w:p w14:paraId="4CCEE7C8">
            <w:pPr>
              <w:pageBreakBefore w:val="0"/>
              <w:widowControl w:val="0"/>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lang w:val="en-US" w:eastAsia="zh-CN"/>
              </w:rPr>
              <w:t>三级</w:t>
            </w:r>
          </w:p>
        </w:tc>
      </w:tr>
    </w:tbl>
    <w:p w14:paraId="5DB75556">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sz w:val="24"/>
        </w:rPr>
      </w:pPr>
    </w:p>
    <w:p w14:paraId="07E3894B">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sz w:val="24"/>
        </w:rPr>
      </w:pPr>
      <w:r>
        <w:rPr>
          <w:rFonts w:hint="eastAsia" w:ascii="宋体" w:hAnsi="宋体" w:eastAsia="宋体" w:cs="宋体"/>
          <w:sz w:val="24"/>
        </w:rPr>
        <w:t>参照《GBT22239-2019 网络安全等级保护基本要求》和《GB/T28448-2019 网络安全等级保护测评要求》等标准规范要求，开展信息系统等级保护测评及整改</w:t>
      </w:r>
      <w:r>
        <w:rPr>
          <w:rFonts w:hint="eastAsia" w:ascii="宋体" w:hAnsi="宋体" w:eastAsia="宋体" w:cs="宋体"/>
          <w:sz w:val="24"/>
          <w:lang w:eastAsia="zh-Hans"/>
        </w:rPr>
        <w:t>指导</w:t>
      </w:r>
      <w:r>
        <w:rPr>
          <w:rFonts w:hint="eastAsia" w:ascii="宋体" w:hAnsi="宋体" w:eastAsia="宋体" w:cs="宋体"/>
          <w:sz w:val="24"/>
        </w:rPr>
        <w:t>工作。指导用户方按照等级保护技术标准完成网络安全整改，使被测评的信息系统达到等级保护相关要求。</w:t>
      </w:r>
    </w:p>
    <w:p w14:paraId="63A1A4F9">
      <w:pPr>
        <w:pageBreakBefore w:val="0"/>
        <w:widowControl w:val="0"/>
        <w:kinsoku/>
        <w:wordWrap/>
        <w:overflowPunct/>
        <w:topLinePunct w:val="0"/>
        <w:bidi w:val="0"/>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测评及整改范围为项目目标所涉及的基础网络环境、主机层面、应用层、数据库层及相关安全辅助设备与管理制度。服务目标为项目目标最终通过公安部门及相关部门的等级保护检查要求。</w:t>
      </w:r>
    </w:p>
    <w:p w14:paraId="7EAF45B6">
      <w:pPr>
        <w:keepNext/>
        <w:keepLines/>
        <w:pageBreakBefore w:val="0"/>
        <w:widowControl w:val="0"/>
        <w:kinsoku/>
        <w:wordWrap/>
        <w:overflowPunct/>
        <w:topLinePunct w:val="0"/>
        <w:bidi w:val="0"/>
        <w:snapToGrid/>
        <w:spacing w:before="0" w:after="0" w:line="400" w:lineRule="exact"/>
        <w:jc w:val="both"/>
        <w:textAlignment w:val="auto"/>
        <w:outlineLvl w:val="3"/>
        <w:rPr>
          <w:rFonts w:hint="default" w:ascii="宋体" w:hAnsi="宋体" w:eastAsia="宋体" w:cs="宋体"/>
          <w:b/>
          <w:bCs w:val="0"/>
          <w:kern w:val="2"/>
          <w:sz w:val="28"/>
          <w:szCs w:val="20"/>
          <w:lang w:val="en-US" w:eastAsia="zh-CN" w:bidi="ar-SA"/>
        </w:rPr>
      </w:pPr>
      <w:r>
        <w:rPr>
          <w:rFonts w:hint="eastAsia" w:ascii="宋体" w:hAnsi="宋体" w:eastAsia="宋体" w:cs="宋体"/>
          <w:b w:val="0"/>
          <w:bCs w:val="0"/>
          <w:kern w:val="2"/>
          <w:sz w:val="28"/>
          <w:szCs w:val="28"/>
          <w:lang w:val="en-US" w:eastAsia="zh-CN" w:bidi="ar-SA"/>
        </w:rPr>
        <w:t>1.2安全服务内容和要求</w:t>
      </w:r>
    </w:p>
    <w:tbl>
      <w:tblPr>
        <w:tblStyle w:val="37"/>
        <w:tblW w:w="515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87"/>
        <w:gridCol w:w="1809"/>
        <w:gridCol w:w="3395"/>
        <w:gridCol w:w="3177"/>
      </w:tblGrid>
      <w:tr w14:paraId="14AA8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620" w:type="pct"/>
            <w:tcBorders>
              <w:top w:val="single" w:color="000000" w:sz="4" w:space="0"/>
              <w:left w:val="single" w:color="000000" w:sz="4" w:space="0"/>
              <w:bottom w:val="single" w:color="000000" w:sz="4" w:space="0"/>
              <w:right w:val="single" w:color="000000" w:sz="4" w:space="0"/>
            </w:tcBorders>
            <w:shd w:val="clear" w:color="auto" w:fill="BEBEBE"/>
            <w:vAlign w:val="bottom"/>
          </w:tcPr>
          <w:p w14:paraId="59273C31">
            <w:pPr>
              <w:spacing w:line="240" w:lineRule="atLeas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序号</w:t>
            </w:r>
          </w:p>
        </w:tc>
        <w:tc>
          <w:tcPr>
            <w:tcW w:w="945" w:type="pct"/>
            <w:tcBorders>
              <w:top w:val="single" w:color="000000" w:sz="4" w:space="0"/>
              <w:left w:val="single" w:color="000000" w:sz="4" w:space="0"/>
              <w:bottom w:val="single" w:color="000000" w:sz="4" w:space="0"/>
              <w:right w:val="single" w:color="000000" w:sz="4" w:space="0"/>
            </w:tcBorders>
            <w:shd w:val="clear" w:color="auto" w:fill="BEBEBE"/>
            <w:vAlign w:val="bottom"/>
          </w:tcPr>
          <w:p w14:paraId="3AD2DF91">
            <w:pPr>
              <w:spacing w:line="240" w:lineRule="atLeas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服务内容</w:t>
            </w:r>
          </w:p>
        </w:tc>
        <w:tc>
          <w:tcPr>
            <w:tcW w:w="1774" w:type="pct"/>
            <w:tcBorders>
              <w:top w:val="single" w:color="000000" w:sz="4" w:space="0"/>
              <w:left w:val="single" w:color="000000" w:sz="4" w:space="0"/>
              <w:bottom w:val="single" w:color="000000" w:sz="4" w:space="0"/>
              <w:right w:val="single" w:color="000000" w:sz="4" w:space="0"/>
            </w:tcBorders>
            <w:shd w:val="clear" w:color="auto" w:fill="BEBEBE"/>
            <w:vAlign w:val="bottom"/>
          </w:tcPr>
          <w:p w14:paraId="0DD84911">
            <w:pPr>
              <w:spacing w:line="240" w:lineRule="atLeas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服务周期</w:t>
            </w:r>
          </w:p>
        </w:tc>
        <w:tc>
          <w:tcPr>
            <w:tcW w:w="1660" w:type="pct"/>
            <w:tcBorders>
              <w:top w:val="single" w:color="000000" w:sz="4" w:space="0"/>
              <w:left w:val="single" w:color="000000" w:sz="4" w:space="0"/>
              <w:bottom w:val="single" w:color="000000" w:sz="4" w:space="0"/>
              <w:right w:val="single" w:color="000000" w:sz="4" w:space="0"/>
            </w:tcBorders>
            <w:shd w:val="clear" w:color="auto" w:fill="BEBEBE"/>
            <w:vAlign w:val="bottom"/>
          </w:tcPr>
          <w:p w14:paraId="39B75DBF">
            <w:pPr>
              <w:spacing w:line="240" w:lineRule="atLeast"/>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服务方式及成果</w:t>
            </w:r>
          </w:p>
        </w:tc>
      </w:tr>
      <w:tr w14:paraId="296F3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25EFC6C3">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945" w:type="pct"/>
            <w:tcBorders>
              <w:top w:val="single" w:color="000000" w:sz="4" w:space="0"/>
              <w:left w:val="single" w:color="000000" w:sz="4" w:space="0"/>
              <w:bottom w:val="single" w:color="auto" w:sz="4" w:space="0"/>
              <w:right w:val="single" w:color="000000" w:sz="4" w:space="0"/>
            </w:tcBorders>
            <w:vAlign w:val="center"/>
          </w:tcPr>
          <w:p w14:paraId="4A6D57C7">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Web安全渗透测试服务</w:t>
            </w:r>
          </w:p>
        </w:tc>
        <w:tc>
          <w:tcPr>
            <w:tcW w:w="1774" w:type="pct"/>
            <w:tcBorders>
              <w:top w:val="single" w:color="000000" w:sz="4" w:space="0"/>
              <w:left w:val="single" w:color="000000" w:sz="4" w:space="0"/>
              <w:bottom w:val="single" w:color="auto" w:sz="4" w:space="0"/>
              <w:right w:val="single" w:color="000000" w:sz="4" w:space="0"/>
            </w:tcBorders>
            <w:vAlign w:val="center"/>
          </w:tcPr>
          <w:p w14:paraId="17C9BF01">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每季度一次全方位的渗透测试.</w:t>
            </w:r>
          </w:p>
        </w:tc>
        <w:tc>
          <w:tcPr>
            <w:tcW w:w="1660" w:type="pct"/>
            <w:tcBorders>
              <w:top w:val="single" w:color="000000" w:sz="4" w:space="0"/>
              <w:left w:val="single" w:color="000000" w:sz="4" w:space="0"/>
              <w:bottom w:val="single" w:color="auto" w:sz="4" w:space="0"/>
              <w:right w:val="single" w:color="000000" w:sz="4" w:space="0"/>
            </w:tcBorders>
            <w:vAlign w:val="center"/>
          </w:tcPr>
          <w:p w14:paraId="2CCF812D">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按甲方要求做4次渗透测试并输出《渗透测试报告》</w:t>
            </w:r>
          </w:p>
        </w:tc>
      </w:tr>
      <w:tr w14:paraId="625AC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auto" w:sz="4" w:space="0"/>
            </w:tcBorders>
            <w:vAlign w:val="center"/>
          </w:tcPr>
          <w:p w14:paraId="6E41B75C">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945" w:type="pct"/>
            <w:tcBorders>
              <w:top w:val="single" w:color="auto" w:sz="4" w:space="0"/>
              <w:left w:val="single" w:color="auto" w:sz="4" w:space="0"/>
              <w:bottom w:val="single" w:color="auto" w:sz="4" w:space="0"/>
              <w:right w:val="single" w:color="000000" w:sz="4" w:space="0"/>
            </w:tcBorders>
            <w:vAlign w:val="center"/>
          </w:tcPr>
          <w:p w14:paraId="180B4DB2">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漏洞扫描服务</w:t>
            </w:r>
          </w:p>
        </w:tc>
        <w:tc>
          <w:tcPr>
            <w:tcW w:w="1774" w:type="pct"/>
            <w:tcBorders>
              <w:top w:val="single" w:color="auto" w:sz="4" w:space="0"/>
              <w:left w:val="single" w:color="000000" w:sz="4" w:space="0"/>
              <w:bottom w:val="single" w:color="auto" w:sz="4" w:space="0"/>
              <w:right w:val="single" w:color="000000" w:sz="4" w:space="0"/>
            </w:tcBorders>
            <w:vAlign w:val="center"/>
          </w:tcPr>
          <w:p w14:paraId="7782AB46">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每季度一次全方位的漏洞检测，生成远程漏扫报告，使甲方能及时了解自身网络安全现状</w:t>
            </w:r>
          </w:p>
        </w:tc>
        <w:tc>
          <w:tcPr>
            <w:tcW w:w="1660" w:type="pct"/>
            <w:tcBorders>
              <w:top w:val="single" w:color="auto" w:sz="4" w:space="0"/>
              <w:left w:val="single" w:color="000000" w:sz="4" w:space="0"/>
              <w:bottom w:val="single" w:color="auto" w:sz="4" w:space="0"/>
              <w:right w:val="single" w:color="000000" w:sz="4" w:space="0"/>
            </w:tcBorders>
            <w:vAlign w:val="center"/>
          </w:tcPr>
          <w:p w14:paraId="590B3227">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按甲方要求做漏洞扫描并输出《漏洞扫描报告》</w:t>
            </w:r>
          </w:p>
        </w:tc>
      </w:tr>
      <w:tr w14:paraId="40D952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0C5F64EC">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945" w:type="pct"/>
            <w:tcBorders>
              <w:top w:val="single" w:color="auto" w:sz="4" w:space="0"/>
              <w:left w:val="single" w:color="000000" w:sz="4" w:space="0"/>
              <w:bottom w:val="single" w:color="auto" w:sz="4" w:space="0"/>
              <w:right w:val="single" w:color="000000" w:sz="4" w:space="0"/>
            </w:tcBorders>
            <w:vAlign w:val="center"/>
          </w:tcPr>
          <w:p w14:paraId="69AECE01">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应急响应服务及重要时期安全保障服务</w:t>
            </w:r>
          </w:p>
        </w:tc>
        <w:tc>
          <w:tcPr>
            <w:tcW w:w="1774" w:type="pct"/>
            <w:tcBorders>
              <w:top w:val="single" w:color="auto" w:sz="4" w:space="0"/>
              <w:left w:val="single" w:color="000000" w:sz="4" w:space="0"/>
              <w:bottom w:val="single" w:color="auto" w:sz="4" w:space="0"/>
              <w:right w:val="single" w:color="000000" w:sz="4" w:space="0"/>
            </w:tcBorders>
            <w:vAlign w:val="center"/>
          </w:tcPr>
          <w:p w14:paraId="3E640F9F">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7*24小时应急响应。生成应急响应服务处理报告，使甲方可以更好应对后期相似的网络安全突发事件，避免甲方业务受影响</w:t>
            </w:r>
          </w:p>
        </w:tc>
        <w:tc>
          <w:tcPr>
            <w:tcW w:w="1660" w:type="pct"/>
            <w:tcBorders>
              <w:top w:val="single" w:color="auto" w:sz="4" w:space="0"/>
              <w:left w:val="single" w:color="000000" w:sz="4" w:space="0"/>
              <w:bottom w:val="single" w:color="auto" w:sz="4" w:space="0"/>
              <w:right w:val="single" w:color="000000" w:sz="4" w:space="0"/>
            </w:tcBorders>
            <w:vAlign w:val="center"/>
          </w:tcPr>
          <w:p w14:paraId="68009195">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按甲方要求在服务期间有应急事件配合应急处理并输出《应急响应服务处理报告》《重要时期安全保障应急预案》</w:t>
            </w:r>
          </w:p>
        </w:tc>
      </w:tr>
      <w:tr w14:paraId="6A895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13ED9AD5">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945" w:type="pct"/>
            <w:tcBorders>
              <w:top w:val="single" w:color="auto" w:sz="4" w:space="0"/>
              <w:left w:val="single" w:color="000000" w:sz="4" w:space="0"/>
              <w:bottom w:val="single" w:color="auto" w:sz="4" w:space="0"/>
              <w:right w:val="single" w:color="000000" w:sz="4" w:space="0"/>
            </w:tcBorders>
            <w:vAlign w:val="center"/>
          </w:tcPr>
          <w:p w14:paraId="0168B27C">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安全巡检加固服务</w:t>
            </w:r>
          </w:p>
        </w:tc>
        <w:tc>
          <w:tcPr>
            <w:tcW w:w="1774" w:type="pct"/>
            <w:tcBorders>
              <w:top w:val="single" w:color="auto" w:sz="4" w:space="0"/>
              <w:left w:val="single" w:color="000000" w:sz="4" w:space="0"/>
              <w:bottom w:val="single" w:color="auto" w:sz="4" w:space="0"/>
              <w:right w:val="single" w:color="000000" w:sz="4" w:space="0"/>
            </w:tcBorders>
            <w:vAlign w:val="center"/>
          </w:tcPr>
          <w:p w14:paraId="6D4728CF">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每季度一次，生成安全加固后漏扫报告，使甲方更直观的了解自身本次安全加固项目的成果</w:t>
            </w:r>
          </w:p>
        </w:tc>
        <w:tc>
          <w:tcPr>
            <w:tcW w:w="1660" w:type="pct"/>
            <w:tcBorders>
              <w:top w:val="single" w:color="auto" w:sz="4" w:space="0"/>
              <w:left w:val="single" w:color="000000" w:sz="4" w:space="0"/>
              <w:bottom w:val="single" w:color="auto" w:sz="4" w:space="0"/>
              <w:right w:val="single" w:color="000000" w:sz="4" w:space="0"/>
            </w:tcBorders>
            <w:vAlign w:val="center"/>
          </w:tcPr>
          <w:p w14:paraId="3184AD74">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主动对甲方系统生成《系统安全加固报告》《加固后漏扫报告》</w:t>
            </w:r>
          </w:p>
        </w:tc>
      </w:tr>
      <w:tr w14:paraId="3F4145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4D5B29DC">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945" w:type="pct"/>
            <w:tcBorders>
              <w:top w:val="single" w:color="auto" w:sz="4" w:space="0"/>
              <w:left w:val="single" w:color="000000" w:sz="4" w:space="0"/>
              <w:bottom w:val="single" w:color="auto" w:sz="4" w:space="0"/>
              <w:right w:val="single" w:color="000000" w:sz="4" w:space="0"/>
            </w:tcBorders>
            <w:vAlign w:val="center"/>
          </w:tcPr>
          <w:p w14:paraId="6CE4451F">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安全咨询服务</w:t>
            </w:r>
          </w:p>
        </w:tc>
        <w:tc>
          <w:tcPr>
            <w:tcW w:w="1774" w:type="pct"/>
            <w:tcBorders>
              <w:top w:val="single" w:color="auto" w:sz="4" w:space="0"/>
              <w:left w:val="single" w:color="000000" w:sz="4" w:space="0"/>
              <w:bottom w:val="single" w:color="auto" w:sz="4" w:space="0"/>
              <w:right w:val="single" w:color="000000" w:sz="4" w:space="0"/>
            </w:tcBorders>
            <w:vAlign w:val="center"/>
          </w:tcPr>
          <w:p w14:paraId="0872C5B8">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全年</w:t>
            </w:r>
          </w:p>
        </w:tc>
        <w:tc>
          <w:tcPr>
            <w:tcW w:w="1660" w:type="pct"/>
            <w:tcBorders>
              <w:top w:val="single" w:color="auto" w:sz="4" w:space="0"/>
              <w:left w:val="single" w:color="000000" w:sz="4" w:space="0"/>
              <w:bottom w:val="single" w:color="auto" w:sz="4" w:space="0"/>
              <w:right w:val="single" w:color="000000" w:sz="4" w:space="0"/>
            </w:tcBorders>
            <w:vAlign w:val="center"/>
          </w:tcPr>
          <w:p w14:paraId="6E1B4081">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能使甲方实时了解最新的政策法规及行业标准，便于更好的开展网络安全工作</w:t>
            </w:r>
          </w:p>
        </w:tc>
      </w:tr>
      <w:tr w14:paraId="2CC79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342AD4CF">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945" w:type="pct"/>
            <w:tcBorders>
              <w:top w:val="single" w:color="auto" w:sz="4" w:space="0"/>
              <w:left w:val="single" w:color="000000" w:sz="4" w:space="0"/>
              <w:bottom w:val="single" w:color="auto" w:sz="4" w:space="0"/>
              <w:right w:val="single" w:color="000000" w:sz="4" w:space="0"/>
            </w:tcBorders>
            <w:vAlign w:val="center"/>
          </w:tcPr>
          <w:p w14:paraId="5F24C174">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安全培训服务</w:t>
            </w:r>
          </w:p>
        </w:tc>
        <w:tc>
          <w:tcPr>
            <w:tcW w:w="1774" w:type="pct"/>
            <w:tcBorders>
              <w:top w:val="single" w:color="auto" w:sz="4" w:space="0"/>
              <w:left w:val="single" w:color="000000" w:sz="4" w:space="0"/>
              <w:bottom w:val="single" w:color="auto" w:sz="4" w:space="0"/>
              <w:right w:val="single" w:color="000000" w:sz="4" w:space="0"/>
            </w:tcBorders>
            <w:vAlign w:val="center"/>
          </w:tcPr>
          <w:p w14:paraId="7E29F768">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安全培训 1年2次</w:t>
            </w:r>
          </w:p>
        </w:tc>
        <w:tc>
          <w:tcPr>
            <w:tcW w:w="1660" w:type="pct"/>
            <w:tcBorders>
              <w:top w:val="single" w:color="auto" w:sz="4" w:space="0"/>
              <w:left w:val="single" w:color="000000" w:sz="4" w:space="0"/>
              <w:bottom w:val="single" w:color="auto" w:sz="4" w:space="0"/>
              <w:right w:val="single" w:color="000000" w:sz="4" w:space="0"/>
            </w:tcBorders>
            <w:vAlign w:val="center"/>
          </w:tcPr>
          <w:p w14:paraId="757CB3B0">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现场培训提供培训课件ppt</w:t>
            </w:r>
          </w:p>
        </w:tc>
      </w:tr>
      <w:tr w14:paraId="08F0FF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2DD54947">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945" w:type="pct"/>
            <w:tcBorders>
              <w:top w:val="single" w:color="auto" w:sz="4" w:space="0"/>
              <w:left w:val="single" w:color="000000" w:sz="4" w:space="0"/>
              <w:bottom w:val="single" w:color="auto" w:sz="4" w:space="0"/>
              <w:right w:val="single" w:color="000000" w:sz="4" w:space="0"/>
            </w:tcBorders>
            <w:vAlign w:val="center"/>
          </w:tcPr>
          <w:p w14:paraId="5CFC0B9A">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应急演练</w:t>
            </w:r>
          </w:p>
        </w:tc>
        <w:tc>
          <w:tcPr>
            <w:tcW w:w="1774" w:type="pct"/>
            <w:tcBorders>
              <w:top w:val="single" w:color="auto" w:sz="4" w:space="0"/>
              <w:left w:val="single" w:color="000000" w:sz="4" w:space="0"/>
              <w:bottom w:val="single" w:color="auto" w:sz="4" w:space="0"/>
              <w:right w:val="single" w:color="000000" w:sz="4" w:space="0"/>
            </w:tcBorders>
            <w:vAlign w:val="center"/>
          </w:tcPr>
          <w:p w14:paraId="7711B5B3">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全年（协助）</w:t>
            </w:r>
          </w:p>
        </w:tc>
        <w:tc>
          <w:tcPr>
            <w:tcW w:w="1660" w:type="pct"/>
            <w:tcBorders>
              <w:top w:val="single" w:color="auto" w:sz="4" w:space="0"/>
              <w:left w:val="single" w:color="000000" w:sz="4" w:space="0"/>
              <w:bottom w:val="single" w:color="auto" w:sz="4" w:space="0"/>
              <w:right w:val="single" w:color="000000" w:sz="4" w:space="0"/>
            </w:tcBorders>
            <w:vAlign w:val="center"/>
          </w:tcPr>
          <w:p w14:paraId="3F1E6AE7">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协助演练内容包括但不限于数据泄露应急演练、病毒查杀、数据恢复、漏洞修补等网络安全演练、攻防演练等，至少各一次</w:t>
            </w:r>
          </w:p>
        </w:tc>
      </w:tr>
      <w:tr w14:paraId="32B23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20" w:type="pct"/>
            <w:tcBorders>
              <w:top w:val="single" w:color="000000" w:sz="4" w:space="0"/>
              <w:left w:val="single" w:color="000000" w:sz="4" w:space="0"/>
              <w:bottom w:val="single" w:color="000000" w:sz="4" w:space="0"/>
              <w:right w:val="single" w:color="000000" w:sz="4" w:space="0"/>
            </w:tcBorders>
            <w:vAlign w:val="center"/>
          </w:tcPr>
          <w:p w14:paraId="35275448">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945" w:type="pct"/>
            <w:tcBorders>
              <w:top w:val="single" w:color="auto" w:sz="4" w:space="0"/>
              <w:left w:val="single" w:color="000000" w:sz="4" w:space="0"/>
              <w:bottom w:val="single" w:color="auto" w:sz="4" w:space="0"/>
              <w:right w:val="single" w:color="000000" w:sz="4" w:space="0"/>
            </w:tcBorders>
            <w:vAlign w:val="center"/>
          </w:tcPr>
          <w:p w14:paraId="63ADB177">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上线前渗透测试</w:t>
            </w:r>
          </w:p>
        </w:tc>
        <w:tc>
          <w:tcPr>
            <w:tcW w:w="1774" w:type="pct"/>
            <w:tcBorders>
              <w:top w:val="single" w:color="auto" w:sz="4" w:space="0"/>
              <w:left w:val="single" w:color="000000" w:sz="4" w:space="0"/>
              <w:bottom w:val="single" w:color="auto" w:sz="4" w:space="0"/>
              <w:right w:val="single" w:color="000000" w:sz="4" w:space="0"/>
            </w:tcBorders>
            <w:vAlign w:val="center"/>
          </w:tcPr>
          <w:p w14:paraId="7B2083EB">
            <w:pPr>
              <w:spacing w:line="240" w:lineRule="atLeast"/>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全年</w:t>
            </w:r>
          </w:p>
        </w:tc>
        <w:tc>
          <w:tcPr>
            <w:tcW w:w="1660" w:type="pct"/>
            <w:tcBorders>
              <w:top w:val="single" w:color="auto" w:sz="4" w:space="0"/>
              <w:left w:val="single" w:color="000000" w:sz="4" w:space="0"/>
              <w:bottom w:val="single" w:color="auto" w:sz="4" w:space="0"/>
              <w:right w:val="single" w:color="000000" w:sz="4" w:space="0"/>
            </w:tcBorders>
            <w:vAlign w:val="center"/>
          </w:tcPr>
          <w:p w14:paraId="1AD395AE">
            <w:pPr>
              <w:spacing w:line="240" w:lineRule="atLeast"/>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全年帮助医院上线系统前的安全渗透检查</w:t>
            </w:r>
          </w:p>
        </w:tc>
      </w:tr>
    </w:tbl>
    <w:p w14:paraId="719B8148">
      <w:pPr>
        <w:bidi w:val="0"/>
        <w:spacing w:line="360" w:lineRule="auto"/>
        <w:rPr>
          <w:rFonts w:hint="eastAsia" w:ascii="Calibri" w:hAnsi="Calibri" w:eastAsia="宋体" w:cs="Times New Roman"/>
          <w:sz w:val="24"/>
        </w:rPr>
      </w:pPr>
      <w:r>
        <w:rPr>
          <w:rFonts w:hint="eastAsia" w:ascii="Calibri" w:hAnsi="Calibri" w:eastAsia="宋体" w:cs="Times New Roman"/>
          <w:sz w:val="24"/>
          <w:lang w:eastAsia="zh-CN"/>
        </w:rPr>
        <w:t>（</w:t>
      </w:r>
      <w:r>
        <w:rPr>
          <w:rFonts w:hint="eastAsia" w:ascii="Calibri" w:hAnsi="Calibri" w:eastAsia="宋体" w:cs="Times New Roman"/>
          <w:sz w:val="24"/>
          <w:lang w:val="en-US" w:eastAsia="zh-CN"/>
        </w:rPr>
        <w:t>1</w:t>
      </w:r>
      <w:r>
        <w:rPr>
          <w:rFonts w:hint="eastAsia" w:ascii="Calibri" w:hAnsi="Calibri" w:eastAsia="宋体" w:cs="Times New Roman"/>
          <w:sz w:val="24"/>
          <w:lang w:eastAsia="zh-CN"/>
        </w:rPr>
        <w:t>）</w:t>
      </w:r>
      <w:r>
        <w:rPr>
          <w:rFonts w:hint="eastAsia" w:ascii="Calibri" w:hAnsi="Calibri" w:eastAsia="宋体" w:cs="Times New Roman"/>
          <w:sz w:val="24"/>
        </w:rPr>
        <w:t>Web 安全渗透测试服务</w:t>
      </w:r>
    </w:p>
    <w:p w14:paraId="7EB0984A">
      <w:pPr>
        <w:bidi w:val="0"/>
        <w:spacing w:line="360" w:lineRule="auto"/>
        <w:ind w:firstLine="480" w:firstLineChars="200"/>
        <w:rPr>
          <w:rFonts w:hint="eastAsia" w:ascii="Calibri" w:hAnsi="Calibri" w:eastAsia="宋体" w:cs="Times New Roman"/>
          <w:sz w:val="24"/>
          <w:lang w:eastAsia="zh-CN"/>
        </w:rPr>
      </w:pPr>
      <w:r>
        <w:rPr>
          <w:rFonts w:hint="eastAsia" w:ascii="Calibri" w:hAnsi="Calibri" w:eastAsia="宋体" w:cs="Times New Roman"/>
          <w:sz w:val="24"/>
        </w:rPr>
        <w:t>模拟真实黑客攻击路径覆盖 OWASP Top 10 核心漏洞：SQL 注入、XSS 跨站脚本、CSRF 跨站请求伪造、文件上传漏洞、命令注入、逻辑漏洞等</w:t>
      </w:r>
      <w:r>
        <w:rPr>
          <w:rFonts w:hint="eastAsia" w:ascii="Calibri" w:hAnsi="Calibri" w:eastAsia="宋体" w:cs="Times New Roman"/>
          <w:sz w:val="24"/>
          <w:lang w:eastAsia="zh-CN"/>
        </w:rPr>
        <w:t>。</w:t>
      </w:r>
      <w:r>
        <w:rPr>
          <w:rFonts w:hint="eastAsia" w:ascii="Calibri" w:hAnsi="Calibri" w:eastAsia="宋体" w:cs="Times New Roman"/>
          <w:sz w:val="24"/>
        </w:rPr>
        <w:t>深度业务越权访问、支付篡改、验证码绕过、会话固定、密码重置漏洞等</w:t>
      </w:r>
      <w:r>
        <w:rPr>
          <w:rFonts w:hint="eastAsia" w:ascii="Calibri" w:hAnsi="Calibri" w:eastAsia="宋体" w:cs="Times New Roman"/>
          <w:sz w:val="24"/>
          <w:lang w:eastAsia="zh-CN"/>
        </w:rPr>
        <w:t>。</w:t>
      </w:r>
      <w:r>
        <w:rPr>
          <w:rFonts w:hint="eastAsia" w:ascii="Calibri" w:hAnsi="Calibri" w:eastAsia="宋体" w:cs="Times New Roman"/>
          <w:sz w:val="24"/>
        </w:rPr>
        <w:t>每次测试后输出完整的《渗透测试报告》，包含漏洞详情、风险等级（高危 / 中危 / 低危）、复现步骤、修复建议及验证方案提供漏洞修复后的复测验证服务，确保漏洞闭环</w:t>
      </w:r>
      <w:r>
        <w:rPr>
          <w:rFonts w:hint="eastAsia" w:ascii="Calibri" w:hAnsi="Calibri" w:eastAsia="宋体" w:cs="Times New Roman"/>
          <w:sz w:val="24"/>
          <w:lang w:eastAsia="zh-CN"/>
        </w:rPr>
        <w:t>。</w:t>
      </w:r>
    </w:p>
    <w:p w14:paraId="1CA761DF">
      <w:pPr>
        <w:numPr>
          <w:ilvl w:val="0"/>
          <w:numId w:val="3"/>
        </w:numPr>
        <w:spacing w:line="360" w:lineRule="auto"/>
        <w:rPr>
          <w:rFonts w:hint="eastAsia" w:ascii="Calibri" w:hAnsi="Calibri" w:eastAsia="宋体" w:cs="Times New Roman"/>
          <w:sz w:val="24"/>
        </w:rPr>
      </w:pPr>
      <w:r>
        <w:rPr>
          <w:rFonts w:hint="eastAsia" w:ascii="Calibri" w:hAnsi="Calibri" w:eastAsia="宋体" w:cs="Times New Roman"/>
          <w:sz w:val="24"/>
        </w:rPr>
        <w:t>漏洞扫描服务</w:t>
      </w:r>
    </w:p>
    <w:p w14:paraId="1FAD4083">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rPr>
        <w:t>采用专业漏洞扫描工具对目标系统进行全面扫描</w:t>
      </w:r>
      <w:r>
        <w:rPr>
          <w:rFonts w:hint="eastAsia" w:ascii="Calibri" w:hAnsi="Calibri" w:eastAsia="宋体" w:cs="Times New Roman"/>
          <w:sz w:val="24"/>
          <w:lang w:eastAsia="zh-CN"/>
        </w:rPr>
        <w:t>。</w:t>
      </w:r>
      <w:r>
        <w:rPr>
          <w:rFonts w:hint="eastAsia" w:ascii="Calibri" w:hAnsi="Calibri" w:eastAsia="宋体" w:cs="Times New Roman"/>
          <w:sz w:val="24"/>
        </w:rPr>
        <w:t>扫描对象涵盖服务器操作系统、数据库、中间件、网络设备、安全设备</w:t>
      </w:r>
      <w:r>
        <w:rPr>
          <w:rFonts w:hint="eastAsia" w:ascii="Calibri" w:hAnsi="Calibri" w:eastAsia="宋体" w:cs="Times New Roman"/>
          <w:sz w:val="24"/>
          <w:lang w:eastAsia="zh-CN"/>
        </w:rPr>
        <w:t>。</w:t>
      </w:r>
      <w:r>
        <w:rPr>
          <w:rFonts w:hint="eastAsia" w:ascii="Calibri" w:hAnsi="Calibri" w:eastAsia="宋体" w:cs="Times New Roman"/>
          <w:sz w:val="24"/>
        </w:rPr>
        <w:t>漏洞分类识别</w:t>
      </w:r>
      <w:r>
        <w:rPr>
          <w:rFonts w:hint="eastAsia" w:ascii="Calibri" w:hAnsi="Calibri" w:eastAsia="宋体" w:cs="Times New Roman"/>
          <w:sz w:val="24"/>
          <w:lang w:val="en-US" w:eastAsia="zh-CN"/>
        </w:rPr>
        <w:t>包含</w:t>
      </w:r>
      <w:r>
        <w:rPr>
          <w:rFonts w:hint="eastAsia" w:ascii="Calibri" w:hAnsi="Calibri" w:eastAsia="宋体" w:cs="Times New Roman"/>
          <w:sz w:val="24"/>
        </w:rPr>
        <w:t>系统漏洞、应用漏洞、配置漏洞、弱口令、信息泄露、组件漏洞等</w:t>
      </w:r>
      <w:r>
        <w:rPr>
          <w:rFonts w:hint="eastAsia" w:ascii="Calibri" w:hAnsi="Calibri" w:eastAsia="宋体" w:cs="Times New Roman"/>
          <w:sz w:val="24"/>
          <w:lang w:eastAsia="zh-CN"/>
        </w:rPr>
        <w:t>，</w:t>
      </w:r>
      <w:r>
        <w:rPr>
          <w:rFonts w:hint="eastAsia" w:ascii="Calibri" w:hAnsi="Calibri" w:eastAsia="宋体" w:cs="Times New Roman"/>
          <w:sz w:val="24"/>
        </w:rPr>
        <w:t>生成《漏洞扫描报告》，按 CVSS 评分标准进行风险分级提供漏洞修复优先级建议，帮助甲方合理分配修复资源</w:t>
      </w:r>
      <w:r>
        <w:rPr>
          <w:rFonts w:hint="eastAsia" w:ascii="Calibri" w:hAnsi="Calibri" w:eastAsia="宋体" w:cs="Times New Roman"/>
          <w:sz w:val="24"/>
          <w:lang w:eastAsia="zh-CN"/>
        </w:rPr>
        <w:t>。</w:t>
      </w:r>
      <w:r>
        <w:rPr>
          <w:rFonts w:hint="eastAsia" w:ascii="Calibri" w:hAnsi="Calibri" w:eastAsia="宋体" w:cs="Times New Roman"/>
          <w:sz w:val="24"/>
        </w:rPr>
        <w:t>使甲方及时掌握自身网络安全现状变化</w:t>
      </w:r>
      <w:r>
        <w:rPr>
          <w:rFonts w:hint="eastAsia" w:ascii="Calibri" w:hAnsi="Calibri" w:eastAsia="宋体" w:cs="Times New Roman"/>
          <w:sz w:val="24"/>
          <w:lang w:eastAsia="zh-CN"/>
        </w:rPr>
        <w:t>。</w:t>
      </w:r>
    </w:p>
    <w:p w14:paraId="2CD18548">
      <w:pPr>
        <w:widowControl w:val="0"/>
        <w:numPr>
          <w:ilvl w:val="0"/>
          <w:numId w:val="0"/>
        </w:numPr>
        <w:spacing w:line="360" w:lineRule="auto"/>
        <w:jc w:val="both"/>
        <w:rPr>
          <w:rFonts w:hint="eastAsia" w:ascii="Calibri" w:hAnsi="Calibri" w:eastAsia="宋体" w:cs="Times New Roman"/>
          <w:sz w:val="24"/>
        </w:rPr>
      </w:pPr>
      <w:r>
        <w:rPr>
          <w:rFonts w:hint="eastAsia" w:ascii="Calibri" w:hAnsi="Calibri" w:eastAsia="宋体" w:cs="Times New Roman"/>
          <w:sz w:val="24"/>
          <w:lang w:eastAsia="zh-CN"/>
        </w:rPr>
        <w:t>（</w:t>
      </w:r>
      <w:r>
        <w:rPr>
          <w:rFonts w:hint="eastAsia" w:ascii="Calibri" w:hAnsi="Calibri" w:eastAsia="宋体" w:cs="Times New Roman"/>
          <w:sz w:val="24"/>
          <w:lang w:val="en-US" w:eastAsia="zh-CN"/>
        </w:rPr>
        <w:t>3</w:t>
      </w:r>
      <w:r>
        <w:rPr>
          <w:rFonts w:hint="eastAsia" w:ascii="Calibri" w:hAnsi="Calibri" w:eastAsia="宋体" w:cs="Times New Roman"/>
          <w:sz w:val="24"/>
          <w:lang w:eastAsia="zh-CN"/>
        </w:rPr>
        <w:t>）</w:t>
      </w:r>
      <w:r>
        <w:rPr>
          <w:rFonts w:hint="eastAsia" w:ascii="Calibri" w:hAnsi="Calibri" w:eastAsia="宋体" w:cs="Times New Roman"/>
          <w:sz w:val="24"/>
        </w:rPr>
        <w:t>应急响应服务及重要时期安全保障服务</w:t>
      </w:r>
    </w:p>
    <w:p w14:paraId="5C0611BB">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rPr>
        <w:t>建立 7×24 小时应急响应机制，提供电话、远程、现场三级响应模式</w:t>
      </w:r>
      <w:r>
        <w:rPr>
          <w:rFonts w:hint="eastAsia" w:ascii="Calibri" w:hAnsi="Calibri" w:eastAsia="宋体" w:cs="Times New Roman"/>
          <w:sz w:val="24"/>
          <w:lang w:eastAsia="zh-CN"/>
        </w:rPr>
        <w:t>，</w:t>
      </w:r>
      <w:r>
        <w:rPr>
          <w:rFonts w:hint="eastAsia" w:ascii="Calibri" w:hAnsi="Calibri" w:eastAsia="宋体" w:cs="Times New Roman"/>
          <w:sz w:val="24"/>
        </w:rPr>
        <w:t>响应范围</w:t>
      </w:r>
      <w:r>
        <w:rPr>
          <w:rFonts w:hint="eastAsia" w:ascii="Calibri" w:hAnsi="Calibri" w:eastAsia="宋体" w:cs="Times New Roman"/>
          <w:sz w:val="24"/>
          <w:lang w:val="en-US" w:eastAsia="zh-CN"/>
        </w:rPr>
        <w:t>包括</w:t>
      </w:r>
      <w:r>
        <w:rPr>
          <w:rFonts w:hint="eastAsia" w:ascii="Calibri" w:hAnsi="Calibri" w:eastAsia="宋体" w:cs="Times New Roman"/>
          <w:sz w:val="24"/>
        </w:rPr>
        <w:t>网页篡改、数据泄露、勒索病毒、DDoS 攻击、系统入侵、恶意代码感染等各类安全事件</w:t>
      </w:r>
      <w:r>
        <w:rPr>
          <w:rFonts w:hint="eastAsia" w:ascii="Calibri" w:hAnsi="Calibri" w:eastAsia="宋体" w:cs="Times New Roman"/>
          <w:sz w:val="24"/>
          <w:lang w:eastAsia="zh-CN"/>
        </w:rPr>
        <w:t>。</w:t>
      </w:r>
      <w:r>
        <w:rPr>
          <w:rFonts w:hint="eastAsia" w:ascii="Calibri" w:hAnsi="Calibri" w:eastAsia="宋体" w:cs="Times New Roman"/>
          <w:sz w:val="24"/>
        </w:rPr>
        <w:t>响应流程：事件研判→紧急处置→溯源分析→清除修复→加固建议→总结报告</w:t>
      </w:r>
      <w:r>
        <w:rPr>
          <w:rFonts w:hint="eastAsia" w:ascii="Calibri" w:hAnsi="Calibri" w:eastAsia="宋体" w:cs="Times New Roman"/>
          <w:sz w:val="24"/>
          <w:lang w:eastAsia="zh-CN"/>
        </w:rPr>
        <w:t>。</w:t>
      </w:r>
      <w:r>
        <w:rPr>
          <w:rFonts w:hint="eastAsia" w:ascii="Calibri" w:hAnsi="Calibri" w:eastAsia="宋体" w:cs="Times New Roman"/>
          <w:sz w:val="24"/>
        </w:rPr>
        <w:t>重要时期保障：针对重大节假日、重要会议、敏感时期等提供专项安全保障</w:t>
      </w:r>
      <w:r>
        <w:rPr>
          <w:rFonts w:hint="eastAsia" w:ascii="Calibri" w:hAnsi="Calibri" w:eastAsia="宋体" w:cs="Times New Roman"/>
          <w:sz w:val="24"/>
          <w:lang w:eastAsia="zh-CN"/>
        </w:rPr>
        <w:t>。</w:t>
      </w:r>
    </w:p>
    <w:p w14:paraId="134B0771">
      <w:pPr>
        <w:widowControl w:val="0"/>
        <w:numPr>
          <w:ilvl w:val="0"/>
          <w:numId w:val="0"/>
        </w:numPr>
        <w:spacing w:line="360" w:lineRule="auto"/>
        <w:jc w:val="both"/>
        <w:rPr>
          <w:rFonts w:hint="eastAsia" w:ascii="Calibri" w:hAnsi="Calibri" w:eastAsia="宋体" w:cs="Times New Roman"/>
          <w:sz w:val="24"/>
        </w:rPr>
      </w:pPr>
      <w:r>
        <w:rPr>
          <w:rFonts w:hint="eastAsia" w:ascii="Calibri" w:hAnsi="Calibri" w:eastAsia="宋体" w:cs="Times New Roman"/>
          <w:sz w:val="24"/>
          <w:lang w:eastAsia="zh-CN"/>
        </w:rPr>
        <w:t>（</w:t>
      </w:r>
      <w:r>
        <w:rPr>
          <w:rFonts w:hint="eastAsia" w:ascii="Calibri" w:hAnsi="Calibri" w:eastAsia="宋体" w:cs="Times New Roman"/>
          <w:sz w:val="24"/>
          <w:lang w:val="en-US" w:eastAsia="zh-CN"/>
        </w:rPr>
        <w:t>4</w:t>
      </w:r>
      <w:r>
        <w:rPr>
          <w:rFonts w:hint="eastAsia" w:ascii="Calibri" w:hAnsi="Calibri" w:eastAsia="宋体" w:cs="Times New Roman"/>
          <w:sz w:val="24"/>
          <w:lang w:eastAsia="zh-CN"/>
        </w:rPr>
        <w:t>）</w:t>
      </w:r>
      <w:r>
        <w:rPr>
          <w:rFonts w:hint="eastAsia" w:ascii="Calibri" w:hAnsi="Calibri" w:eastAsia="宋体" w:cs="Times New Roman"/>
          <w:sz w:val="24"/>
        </w:rPr>
        <w:t>安全巡检加固服务</w:t>
      </w:r>
    </w:p>
    <w:p w14:paraId="271E4CB0">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rPr>
        <w:t>对甲方信息系统进行全面安全巡检，包括服务器、数据库、中间件、网络设备等</w:t>
      </w:r>
      <w:r>
        <w:rPr>
          <w:rFonts w:hint="eastAsia" w:ascii="Calibri" w:hAnsi="Calibri" w:eastAsia="宋体" w:cs="Times New Roman"/>
          <w:sz w:val="24"/>
          <w:lang w:eastAsia="zh-CN"/>
        </w:rPr>
        <w:t>。</w:t>
      </w:r>
      <w:r>
        <w:rPr>
          <w:rFonts w:hint="eastAsia" w:ascii="Times New Roman" w:hAnsi="Times New Roman" w:eastAsia="宋体" w:cs="Times New Roman"/>
          <w:color w:val="auto"/>
          <w:sz w:val="24"/>
          <w:lang w:val="en-US" w:eastAsia="zh-CN"/>
        </w:rPr>
        <w:t>生成安全加固后漏扫报告，使甲方更直观的了解自身本次安全加固项目的成果。</w:t>
      </w:r>
    </w:p>
    <w:p w14:paraId="77CEDE82">
      <w:pPr>
        <w:numPr>
          <w:ilvl w:val="0"/>
          <w:numId w:val="4"/>
        </w:numPr>
        <w:spacing w:line="360" w:lineRule="auto"/>
        <w:rPr>
          <w:rFonts w:hint="eastAsia" w:ascii="Calibri" w:hAnsi="Calibri" w:eastAsia="宋体" w:cs="Times New Roman"/>
          <w:sz w:val="24"/>
          <w:lang w:eastAsia="zh-CN"/>
        </w:rPr>
      </w:pPr>
      <w:r>
        <w:rPr>
          <w:rFonts w:hint="eastAsia" w:ascii="Calibri" w:hAnsi="Calibri" w:eastAsia="宋体" w:cs="Times New Roman"/>
          <w:sz w:val="24"/>
          <w:lang w:eastAsia="zh-CN"/>
        </w:rPr>
        <w:t>安全咨询服务</w:t>
      </w:r>
    </w:p>
    <w:p w14:paraId="684BCB67">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提供最新《网络安全法》《数据安全法》《个人信息保护法》《网络安全等级保护 2.0》、等保 2.0 标准</w:t>
      </w:r>
      <w:r>
        <w:rPr>
          <w:rFonts w:hint="eastAsia" w:ascii="Calibri" w:hAnsi="Calibri" w:eastAsia="宋体" w:cs="Times New Roman"/>
          <w:sz w:val="24"/>
          <w:lang w:val="en-US" w:eastAsia="zh-CN"/>
        </w:rPr>
        <w:t>等</w:t>
      </w:r>
      <w:r>
        <w:rPr>
          <w:rFonts w:hint="eastAsia" w:ascii="Calibri" w:hAnsi="Calibri" w:eastAsia="宋体" w:cs="Times New Roman"/>
          <w:sz w:val="24"/>
          <w:lang w:eastAsia="zh-CN"/>
        </w:rPr>
        <w:t>网络安全政策法规解读。</w:t>
      </w:r>
    </w:p>
    <w:p w14:paraId="3FEB4310">
      <w:pPr>
        <w:widowControl w:val="0"/>
        <w:numPr>
          <w:ilvl w:val="0"/>
          <w:numId w:val="4"/>
        </w:numPr>
        <w:spacing w:line="360" w:lineRule="auto"/>
        <w:ind w:left="0" w:leftChars="0" w:firstLine="0" w:firstLineChars="0"/>
        <w:jc w:val="both"/>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安全培训服务</w:t>
      </w:r>
    </w:p>
    <w:p w14:paraId="65B48740">
      <w:pPr>
        <w:widowControl w:val="0"/>
        <w:numPr>
          <w:ilvl w:val="0"/>
          <w:numId w:val="0"/>
        </w:numPr>
        <w:spacing w:line="360" w:lineRule="auto"/>
        <w:ind w:firstLine="480" w:firstLineChars="200"/>
        <w:jc w:val="both"/>
        <w:rPr>
          <w:rFonts w:hint="default" w:ascii="Calibri" w:hAnsi="Calibri" w:eastAsia="宋体" w:cs="Times New Roman"/>
          <w:sz w:val="24"/>
          <w:lang w:val="en-US" w:eastAsia="zh-CN"/>
        </w:rPr>
      </w:pPr>
      <w:r>
        <w:rPr>
          <w:rFonts w:hint="default" w:ascii="Calibri" w:hAnsi="Calibri" w:eastAsia="宋体" w:cs="Times New Roman"/>
          <w:sz w:val="24"/>
          <w:lang w:val="en-US" w:eastAsia="zh-CN"/>
        </w:rPr>
        <w:t>意识类：社会工程学防范、钓鱼邮件识别、办公安全、数据保密意识</w:t>
      </w:r>
      <w:r>
        <w:rPr>
          <w:rFonts w:hint="eastAsia" w:ascii="Calibri" w:hAnsi="Calibri" w:eastAsia="宋体" w:cs="Times New Roman"/>
          <w:sz w:val="24"/>
          <w:lang w:val="en-US" w:eastAsia="zh-CN"/>
        </w:rPr>
        <w:t>。</w:t>
      </w:r>
    </w:p>
    <w:p w14:paraId="1F6F465A">
      <w:pPr>
        <w:widowControl w:val="0"/>
        <w:numPr>
          <w:ilvl w:val="0"/>
          <w:numId w:val="0"/>
        </w:numPr>
        <w:spacing w:line="360" w:lineRule="auto"/>
        <w:ind w:firstLine="480" w:firstLineChars="200"/>
        <w:jc w:val="both"/>
        <w:rPr>
          <w:rFonts w:hint="default" w:ascii="Calibri" w:hAnsi="Calibri" w:eastAsia="宋体" w:cs="Times New Roman"/>
          <w:sz w:val="24"/>
          <w:lang w:val="en-US" w:eastAsia="zh-CN"/>
        </w:rPr>
      </w:pPr>
      <w:r>
        <w:rPr>
          <w:rFonts w:hint="default" w:ascii="Calibri" w:hAnsi="Calibri" w:eastAsia="宋体" w:cs="Times New Roman"/>
          <w:sz w:val="24"/>
          <w:lang w:val="en-US" w:eastAsia="zh-CN"/>
        </w:rPr>
        <w:t>技术类：漏洞攻防原理、安全运维最佳实践、应急处置实操</w:t>
      </w:r>
      <w:r>
        <w:rPr>
          <w:rFonts w:hint="eastAsia" w:ascii="Calibri" w:hAnsi="Calibri" w:eastAsia="宋体" w:cs="Times New Roman"/>
          <w:sz w:val="24"/>
          <w:lang w:val="en-US" w:eastAsia="zh-CN"/>
        </w:rPr>
        <w:t>。</w:t>
      </w:r>
    </w:p>
    <w:p w14:paraId="292CF4A7">
      <w:pPr>
        <w:widowControl w:val="0"/>
        <w:numPr>
          <w:ilvl w:val="0"/>
          <w:numId w:val="0"/>
        </w:numPr>
        <w:spacing w:line="360" w:lineRule="auto"/>
        <w:ind w:firstLine="480" w:firstLineChars="200"/>
        <w:jc w:val="both"/>
        <w:rPr>
          <w:rFonts w:hint="default" w:ascii="Calibri" w:hAnsi="Calibri" w:eastAsia="宋体" w:cs="Times New Roman"/>
          <w:sz w:val="24"/>
          <w:lang w:val="en-US" w:eastAsia="zh-CN"/>
        </w:rPr>
      </w:pPr>
      <w:r>
        <w:rPr>
          <w:rFonts w:hint="default" w:ascii="Calibri" w:hAnsi="Calibri" w:eastAsia="宋体" w:cs="Times New Roman"/>
          <w:sz w:val="24"/>
          <w:lang w:val="en-US" w:eastAsia="zh-CN"/>
        </w:rPr>
        <w:t>管理类：等保合规要求、安全管理制度建设、风险管理</w:t>
      </w:r>
      <w:r>
        <w:rPr>
          <w:rFonts w:hint="eastAsia" w:ascii="Calibri" w:hAnsi="Calibri" w:eastAsia="宋体" w:cs="Times New Roman"/>
          <w:sz w:val="24"/>
          <w:lang w:val="en-US" w:eastAsia="zh-CN"/>
        </w:rPr>
        <w:t>。</w:t>
      </w:r>
    </w:p>
    <w:p w14:paraId="52AC4DE0">
      <w:pPr>
        <w:widowControl w:val="0"/>
        <w:numPr>
          <w:ilvl w:val="0"/>
          <w:numId w:val="0"/>
        </w:numPr>
        <w:spacing w:line="360" w:lineRule="auto"/>
        <w:ind w:firstLine="480" w:firstLineChars="200"/>
        <w:jc w:val="both"/>
        <w:rPr>
          <w:rFonts w:hint="default" w:ascii="Calibri" w:hAnsi="Calibri" w:eastAsia="宋体" w:cs="Times New Roman"/>
          <w:sz w:val="24"/>
          <w:lang w:val="en-US" w:eastAsia="zh-CN"/>
        </w:rPr>
      </w:pPr>
      <w:r>
        <w:rPr>
          <w:rFonts w:hint="default" w:ascii="Calibri" w:hAnsi="Calibri" w:eastAsia="宋体" w:cs="Times New Roman"/>
          <w:sz w:val="24"/>
          <w:lang w:val="en-US" w:eastAsia="zh-CN"/>
        </w:rPr>
        <w:t>培训形式：现场授课</w:t>
      </w:r>
      <w:r>
        <w:rPr>
          <w:rFonts w:hint="eastAsia" w:ascii="Calibri" w:hAnsi="Calibri" w:eastAsia="宋体" w:cs="Times New Roman"/>
          <w:sz w:val="24"/>
          <w:lang w:val="en-US" w:eastAsia="zh-CN"/>
        </w:rPr>
        <w:t>。</w:t>
      </w:r>
    </w:p>
    <w:p w14:paraId="71772198">
      <w:pPr>
        <w:widowControl w:val="0"/>
        <w:numPr>
          <w:ilvl w:val="0"/>
          <w:numId w:val="0"/>
        </w:numPr>
        <w:spacing w:line="360" w:lineRule="auto"/>
        <w:ind w:firstLine="480" w:firstLineChars="200"/>
        <w:jc w:val="both"/>
        <w:rPr>
          <w:rFonts w:hint="default" w:ascii="Calibri" w:hAnsi="Calibri" w:eastAsia="宋体" w:cs="Times New Roman"/>
          <w:sz w:val="24"/>
          <w:lang w:val="en-US" w:eastAsia="zh-CN"/>
        </w:rPr>
      </w:pPr>
      <w:r>
        <w:rPr>
          <w:rFonts w:hint="default" w:ascii="Calibri" w:hAnsi="Calibri" w:eastAsia="宋体" w:cs="Times New Roman"/>
          <w:sz w:val="24"/>
          <w:lang w:val="en-US" w:eastAsia="zh-CN"/>
        </w:rPr>
        <w:t>提供完整培训课件 PPT，便于甲方后续内部宣贯</w:t>
      </w:r>
      <w:r>
        <w:rPr>
          <w:rFonts w:hint="eastAsia" w:ascii="Calibri" w:hAnsi="Calibri" w:eastAsia="宋体" w:cs="Times New Roman"/>
          <w:sz w:val="24"/>
          <w:lang w:val="en-US" w:eastAsia="zh-CN"/>
        </w:rPr>
        <w:t>。</w:t>
      </w:r>
    </w:p>
    <w:p w14:paraId="5B8345F2">
      <w:pPr>
        <w:widowControl w:val="0"/>
        <w:numPr>
          <w:ilvl w:val="0"/>
          <w:numId w:val="0"/>
        </w:numPr>
        <w:spacing w:line="360" w:lineRule="auto"/>
        <w:jc w:val="both"/>
        <w:rPr>
          <w:rFonts w:hint="eastAsia" w:ascii="Calibri" w:hAnsi="Calibri" w:eastAsia="宋体" w:cs="Times New Roman"/>
          <w:sz w:val="24"/>
          <w:lang w:eastAsia="zh-CN"/>
        </w:rPr>
      </w:pPr>
      <w:r>
        <w:rPr>
          <w:rFonts w:hint="eastAsia" w:ascii="Calibri" w:hAnsi="Calibri" w:eastAsia="宋体" w:cs="Times New Roman"/>
          <w:sz w:val="24"/>
          <w:lang w:eastAsia="zh-CN"/>
        </w:rPr>
        <w:t>（</w:t>
      </w:r>
      <w:r>
        <w:rPr>
          <w:rFonts w:hint="eastAsia" w:ascii="Calibri" w:hAnsi="Calibri" w:eastAsia="宋体" w:cs="Times New Roman"/>
          <w:sz w:val="24"/>
          <w:lang w:val="en-US" w:eastAsia="zh-CN"/>
        </w:rPr>
        <w:t>7</w:t>
      </w:r>
      <w:r>
        <w:rPr>
          <w:rFonts w:hint="eastAsia" w:ascii="Calibri" w:hAnsi="Calibri" w:eastAsia="宋体" w:cs="Times New Roman"/>
          <w:sz w:val="24"/>
          <w:lang w:eastAsia="zh-CN"/>
        </w:rPr>
        <w:t>）应急演练服务</w:t>
      </w:r>
    </w:p>
    <w:p w14:paraId="088CE374">
      <w:pPr>
        <w:widowControl w:val="0"/>
        <w:numPr>
          <w:ilvl w:val="0"/>
          <w:numId w:val="0"/>
        </w:numPr>
        <w:spacing w:line="360" w:lineRule="auto"/>
        <w:jc w:val="both"/>
        <w:rPr>
          <w:rFonts w:hint="eastAsia" w:ascii="Calibri" w:hAnsi="Calibri" w:eastAsia="宋体" w:cs="Times New Roman"/>
          <w:sz w:val="24"/>
          <w:lang w:val="en-US" w:eastAsia="zh-CN"/>
        </w:rPr>
      </w:pPr>
      <w:r>
        <w:rPr>
          <w:rFonts w:hint="eastAsia" w:ascii="Calibri" w:hAnsi="Calibri" w:eastAsia="宋体" w:cs="Times New Roman"/>
          <w:sz w:val="24"/>
          <w:lang w:val="en-US" w:eastAsia="zh-CN"/>
        </w:rPr>
        <w:t>演练内容从以下场景中进行选择性演练。</w:t>
      </w:r>
    </w:p>
    <w:p w14:paraId="2EBD7CDA">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数据泄露应急演练：模拟患者数据、医疗数据泄露场景，演练发现、上报、处置、通报全流程。</w:t>
      </w:r>
    </w:p>
    <w:p w14:paraId="65CB8E7B">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病毒查杀演练：模拟勒索病毒、蠕虫病毒感染场景，演练病毒查杀、系统恢复、业务回滚。</w:t>
      </w:r>
    </w:p>
    <w:p w14:paraId="538C52E8">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数据恢复演练：演练数据库备份恢复、文件系统恢复、业务系统快速重建。</w:t>
      </w:r>
    </w:p>
    <w:p w14:paraId="78BD8299">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漏洞修补演练：模拟高危漏洞爆发场景，演练漏洞评估、补丁测试、批量部署、验证闭环。</w:t>
      </w:r>
    </w:p>
    <w:p w14:paraId="6448CA01">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攻防演练：组织红蓝对抗演练，检验防护体系有效性和应急响应能力。</w:t>
      </w:r>
    </w:p>
    <w:p w14:paraId="41554CE8">
      <w:pPr>
        <w:widowControl w:val="0"/>
        <w:numPr>
          <w:ilvl w:val="0"/>
          <w:numId w:val="0"/>
        </w:numPr>
        <w:spacing w:line="360" w:lineRule="auto"/>
        <w:ind w:firstLine="480" w:firstLineChars="200"/>
        <w:jc w:val="both"/>
        <w:rPr>
          <w:rFonts w:hint="eastAsia" w:ascii="Calibri" w:hAnsi="Calibri" w:eastAsia="宋体" w:cs="Times New Roman"/>
          <w:sz w:val="24"/>
          <w:lang w:eastAsia="zh-CN"/>
        </w:rPr>
      </w:pPr>
      <w:r>
        <w:rPr>
          <w:rFonts w:hint="eastAsia" w:ascii="Calibri" w:hAnsi="Calibri" w:eastAsia="宋体" w:cs="Times New Roman"/>
          <w:sz w:val="24"/>
          <w:lang w:eastAsia="zh-CN"/>
        </w:rPr>
        <w:t>演练前制定详细</w:t>
      </w:r>
      <w:r>
        <w:rPr>
          <w:rFonts w:hint="eastAsia" w:ascii="Calibri" w:hAnsi="Calibri" w:eastAsia="宋体" w:cs="Times New Roman"/>
          <w:sz w:val="24"/>
          <w:lang w:val="en-US" w:eastAsia="zh-CN"/>
        </w:rPr>
        <w:t>推演</w:t>
      </w:r>
      <w:r>
        <w:rPr>
          <w:rFonts w:hint="eastAsia" w:ascii="Calibri" w:hAnsi="Calibri" w:eastAsia="宋体" w:cs="Times New Roman"/>
          <w:sz w:val="24"/>
          <w:lang w:eastAsia="zh-CN"/>
        </w:rPr>
        <w:t>方案，提升实战化应急处置能力</w:t>
      </w:r>
    </w:p>
    <w:p w14:paraId="2CBA8A90">
      <w:pPr>
        <w:widowControl w:val="0"/>
        <w:numPr>
          <w:ilvl w:val="0"/>
          <w:numId w:val="0"/>
        </w:numPr>
        <w:spacing w:line="360" w:lineRule="auto"/>
        <w:jc w:val="both"/>
        <w:rPr>
          <w:rFonts w:hint="eastAsia" w:ascii="Calibri" w:hAnsi="Calibri" w:eastAsia="宋体" w:cs="Times New Roman"/>
          <w:sz w:val="24"/>
          <w:lang w:eastAsia="zh-CN"/>
        </w:rPr>
      </w:pPr>
      <w:r>
        <w:rPr>
          <w:rFonts w:hint="eastAsia" w:ascii="Calibri" w:hAnsi="Calibri" w:eastAsia="宋体" w:cs="Times New Roman"/>
          <w:sz w:val="24"/>
          <w:lang w:eastAsia="zh-CN"/>
        </w:rPr>
        <w:t>（</w:t>
      </w:r>
      <w:r>
        <w:rPr>
          <w:rFonts w:hint="eastAsia" w:ascii="Calibri" w:hAnsi="Calibri" w:eastAsia="宋体" w:cs="Times New Roman"/>
          <w:sz w:val="24"/>
          <w:lang w:val="en-US" w:eastAsia="zh-CN"/>
        </w:rPr>
        <w:t>8</w:t>
      </w:r>
      <w:r>
        <w:rPr>
          <w:rFonts w:hint="eastAsia" w:ascii="Calibri" w:hAnsi="Calibri" w:eastAsia="宋体" w:cs="Times New Roman"/>
          <w:sz w:val="24"/>
          <w:lang w:eastAsia="zh-CN"/>
        </w:rPr>
        <w:t>）上线前渗透测试服务</w:t>
      </w:r>
    </w:p>
    <w:p w14:paraId="54CC76AB">
      <w:pPr>
        <w:widowControl w:val="0"/>
        <w:numPr>
          <w:ilvl w:val="0"/>
          <w:numId w:val="0"/>
        </w:numPr>
        <w:spacing w:line="360" w:lineRule="auto"/>
        <w:ind w:firstLine="480" w:firstLineChars="200"/>
        <w:jc w:val="both"/>
        <w:rPr>
          <w:rFonts w:ascii="Calibri" w:hAnsi="Calibri" w:eastAsia="宋体" w:cs="Times New Roman"/>
          <w:sz w:val="24"/>
        </w:rPr>
      </w:pPr>
      <w:r>
        <w:rPr>
          <w:rFonts w:hint="eastAsia" w:ascii="Calibri" w:hAnsi="Calibri" w:eastAsia="宋体" w:cs="Times New Roman"/>
          <w:sz w:val="24"/>
          <w:lang w:eastAsia="zh-CN"/>
        </w:rPr>
        <w:t>为医院新系统上线前</w:t>
      </w:r>
      <w:r>
        <w:rPr>
          <w:rFonts w:hint="eastAsia" w:ascii="Calibri" w:hAnsi="Calibri" w:eastAsia="宋体" w:cs="Times New Roman"/>
          <w:sz w:val="24"/>
          <w:lang w:val="en-US" w:eastAsia="zh-CN"/>
        </w:rPr>
        <w:t>提</w:t>
      </w:r>
      <w:r>
        <w:rPr>
          <w:rFonts w:hint="eastAsia" w:ascii="Calibri" w:hAnsi="Calibri" w:eastAsia="宋体" w:cs="Times New Roman"/>
          <w:sz w:val="24"/>
          <w:lang w:eastAsia="zh-CN"/>
        </w:rPr>
        <w:t>供安全渗透测试把关。测试内容</w:t>
      </w:r>
      <w:r>
        <w:rPr>
          <w:rFonts w:hint="eastAsia" w:ascii="Calibri" w:hAnsi="Calibri" w:eastAsia="宋体" w:cs="Times New Roman"/>
          <w:sz w:val="24"/>
          <w:lang w:val="en-US" w:eastAsia="zh-CN"/>
        </w:rPr>
        <w:t>有</w:t>
      </w:r>
      <w:r>
        <w:rPr>
          <w:rFonts w:hint="eastAsia" w:ascii="Calibri" w:hAnsi="Calibri" w:eastAsia="宋体" w:cs="Times New Roman"/>
          <w:sz w:val="24"/>
          <w:lang w:eastAsia="zh-CN"/>
        </w:rPr>
        <w:t>：Web 应用渗透测试、接口安全测试、业务逻辑测试、配置安全检查。重点关注医疗行业特有</w:t>
      </w:r>
      <w:r>
        <w:rPr>
          <w:rFonts w:hint="eastAsia" w:ascii="Calibri" w:hAnsi="Calibri" w:eastAsia="宋体" w:cs="Times New Roman"/>
          <w:sz w:val="24"/>
          <w:lang w:val="en-US" w:eastAsia="zh-CN"/>
        </w:rPr>
        <w:t>的</w:t>
      </w:r>
      <w:r>
        <w:rPr>
          <w:rFonts w:hint="eastAsia" w:ascii="Calibri" w:hAnsi="Calibri" w:eastAsia="宋体" w:cs="Times New Roman"/>
          <w:sz w:val="24"/>
          <w:lang w:eastAsia="zh-CN"/>
        </w:rPr>
        <w:t>患者数据保护、诊疗数据完整性、HIS/PACS/LIS 等系统接口安全</w:t>
      </w:r>
      <w:r>
        <w:rPr>
          <w:rFonts w:hint="eastAsia" w:ascii="Calibri" w:hAnsi="Calibri" w:eastAsia="宋体" w:cs="Times New Roman"/>
          <w:sz w:val="24"/>
          <w:lang w:val="en-US" w:eastAsia="zh-CN"/>
        </w:rPr>
        <w:t>等风险。</w:t>
      </w:r>
      <w:r>
        <w:rPr>
          <w:rFonts w:hint="eastAsia" w:ascii="Calibri" w:hAnsi="Calibri" w:eastAsia="宋体" w:cs="Times New Roman"/>
          <w:sz w:val="24"/>
          <w:lang w:eastAsia="zh-CN"/>
        </w:rPr>
        <w:t>输出《上线前安全渗透测试报告》，列出发现的安全问题及修复建议，提供修复指导与复测验证，确保系统“带病不上线”。从源头降低安全风险，根据甲方项目上线计划灵活安排</w:t>
      </w:r>
    </w:p>
    <w:p w14:paraId="0F97BFD3">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1.3标准和规范</w:t>
      </w:r>
    </w:p>
    <w:p w14:paraId="47D77E85">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《中华人民共和国网络安全法》</w:t>
      </w:r>
    </w:p>
    <w:p w14:paraId="22BE71FF">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 17859—1999 计算机信息系统 安全等级保护划分准则》</w:t>
      </w:r>
    </w:p>
    <w:p w14:paraId="0BF9C32A">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20269—2006 信息安全技术 信息系统安全管理要求》</w:t>
      </w:r>
    </w:p>
    <w:p w14:paraId="4233E3F2">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20271—2006 信息安全技术 网络系统安全通用技术要求》</w:t>
      </w:r>
    </w:p>
    <w:p w14:paraId="2D698B8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20272—2006 信息安全技术 操作系统安全技术要求》</w:t>
      </w:r>
    </w:p>
    <w:p w14:paraId="5D1AC72A">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20273—2006 信息安全技术 数据库管理系统安全技术要求》</w:t>
      </w:r>
    </w:p>
    <w:p w14:paraId="1B11C2F2">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22240—2020 信息安全技术 网络安全等级保护定级指南》</w:t>
      </w:r>
    </w:p>
    <w:p w14:paraId="69672B7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22239—2019 信息安全技术 网络安全等级保护基本要求》</w:t>
      </w:r>
    </w:p>
    <w:p w14:paraId="3CC389E8">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25070—2019 信息安全技术 网络安全等级保护设计技术要求》</w:t>
      </w:r>
    </w:p>
    <w:p w14:paraId="0B4136B1">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《GB/T 28448—2019 信息安全技术 网络安全等级保护测评要求》</w:t>
      </w:r>
    </w:p>
    <w:p w14:paraId="04F8BC24">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《信息安全等级保护管理办法》（公通字[2007]43号文件）</w:t>
      </w:r>
    </w:p>
    <w:p w14:paraId="61BD99EF">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《信息安全等级保护备案实施细则》（公信安[2007]1360 号）</w:t>
      </w:r>
    </w:p>
    <w:p w14:paraId="60A76A8F">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1.4测评实施原则</w:t>
      </w:r>
    </w:p>
    <w:p w14:paraId="2A1412AB">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本项目实施方案设计与具体实施必须满足以下原则：</w:t>
      </w:r>
    </w:p>
    <w:p w14:paraId="1479677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保密原则：对测评的过程数据和结果数据严格保密，未经授权不得泄露给任何单位和个人，不得利用此数据进行任何侵害招标方的行为。</w:t>
      </w:r>
    </w:p>
    <w:p w14:paraId="4786D1F1">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标准性原则：测评方案的设计与实施应依据国家信息系统安全等级保护的相关标准进行。</w:t>
      </w:r>
    </w:p>
    <w:p w14:paraId="7B90D0C5">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规范性原则：</w:t>
      </w:r>
      <w:r>
        <w:rPr>
          <w:rFonts w:hint="eastAsia" w:ascii="宋体" w:hAnsi="宋体" w:eastAsia="宋体" w:cs="宋体"/>
          <w:sz w:val="24"/>
          <w:lang w:eastAsia="zh-CN"/>
        </w:rPr>
        <w:t>供应商</w:t>
      </w:r>
      <w:r>
        <w:rPr>
          <w:rFonts w:hint="eastAsia" w:ascii="宋体" w:hAnsi="宋体" w:eastAsia="宋体" w:cs="宋体"/>
          <w:sz w:val="24"/>
        </w:rPr>
        <w:t>的工作中的过程和文档，具有很好的规范性，可以便于项目的跟踪和控制。</w:t>
      </w:r>
    </w:p>
    <w:p w14:paraId="23D8DA26">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可控性原则：项目安排工作进度要跟上进度表的安排，保证工作的可控性。</w:t>
      </w:r>
    </w:p>
    <w:p w14:paraId="336ABFA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最小影响原则：测评工作应尽可能小的影响系统和网络，并在可控范围内；测评工作不能对现有信息系统的正常运行、业务的正常开展产生任何影响。</w:t>
      </w:r>
    </w:p>
    <w:p w14:paraId="36BB60ED">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整体性原则：测评的范围和内容应当整体全面，包括国家等级保护相关要求涉及的各个层面。</w:t>
      </w:r>
    </w:p>
    <w:p w14:paraId="5D8C1587">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1.5整体要求</w:t>
      </w:r>
    </w:p>
    <w:p w14:paraId="77DE7A05">
      <w:pPr>
        <w:pageBreakBefore w:val="0"/>
        <w:widowControl w:val="0"/>
        <w:numPr>
          <w:ilvl w:val="0"/>
          <w:numId w:val="5"/>
        </w:numPr>
        <w:kinsoku/>
        <w:wordWrap/>
        <w:overflowPunct/>
        <w:topLinePunct w:val="0"/>
        <w:autoSpaceDE w:val="0"/>
        <w:autoSpaceDN w:val="0"/>
        <w:bidi w:val="0"/>
        <w:adjustRightInd w:val="0"/>
        <w:snapToGrid/>
        <w:spacing w:line="400" w:lineRule="exact"/>
        <w:ind w:firstLine="480" w:firstLineChars="200"/>
        <w:jc w:val="left"/>
        <w:textAlignment w:val="auto"/>
        <w:rPr>
          <w:rFonts w:hint="eastAsia" w:ascii="宋体" w:hAnsi="宋体" w:eastAsia="宋体" w:cs="宋体"/>
          <w:sz w:val="24"/>
        </w:rPr>
      </w:pPr>
      <w:r>
        <w:rPr>
          <w:rFonts w:hint="eastAsia" w:ascii="宋体" w:hAnsi="宋体" w:eastAsia="宋体" w:cs="宋体"/>
          <w:sz w:val="24"/>
        </w:rPr>
        <w:t>供应商应详细描述本次信息系统安全等级保护测评的整体实施方案，包括项目概述、等级保护测评方案、测试过程中需使用测试设备清单、时间安排、阶段性文档提交等。</w:t>
      </w:r>
    </w:p>
    <w:p w14:paraId="7C63AB96">
      <w:pPr>
        <w:pageBreakBefore w:val="0"/>
        <w:widowControl w:val="0"/>
        <w:numPr>
          <w:ilvl w:val="0"/>
          <w:numId w:val="5"/>
        </w:numPr>
        <w:kinsoku/>
        <w:wordWrap/>
        <w:overflowPunct/>
        <w:topLinePunct w:val="0"/>
        <w:autoSpaceDE w:val="0"/>
        <w:autoSpaceDN w:val="0"/>
        <w:bidi w:val="0"/>
        <w:adjustRightInd w:val="0"/>
        <w:snapToGrid/>
        <w:spacing w:line="400" w:lineRule="exact"/>
        <w:ind w:left="0" w:leftChars="0" w:firstLine="480" w:firstLineChars="200"/>
        <w:jc w:val="left"/>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供应商必须具备丰富的等级测评项目经验，投标供应商</w:t>
      </w:r>
      <w:r>
        <w:rPr>
          <w:rFonts w:hint="eastAsia" w:ascii="宋体" w:hAnsi="宋体" w:eastAsia="宋体" w:cs="宋体"/>
          <w:color w:val="auto"/>
          <w:sz w:val="24"/>
          <w:highlight w:val="none"/>
          <w:lang w:val="en-US" w:eastAsia="zh-CN"/>
        </w:rPr>
        <w:t>须具备</w:t>
      </w:r>
      <w:r>
        <w:rPr>
          <w:rFonts w:hint="eastAsia" w:ascii="宋体" w:hAnsi="宋体" w:eastAsia="宋体" w:cs="宋体"/>
          <w:color w:val="auto"/>
          <w:sz w:val="24"/>
          <w:highlight w:val="none"/>
          <w:lang w:eastAsia="zh-CN"/>
        </w:rPr>
        <w:t>公安部第三研究所认证发放的《网络安全等级测评与检测评估机构服务认证证书</w:t>
      </w:r>
      <w:r>
        <w:rPr>
          <w:rFonts w:hint="eastAsia" w:ascii="Calibri" w:hAnsi="Calibri" w:eastAsia="宋体" w:cs="Times New Roman"/>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投标供应商项目人员须提供至少一名高级测评师资格证明或测评人员具有CISP证书（种类涵盖CISO、CISE和CISP-PTE等）</w:t>
      </w:r>
    </w:p>
    <w:p w14:paraId="046B45FE">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val="en-US" w:eastAsia="zh-CN"/>
        </w:rPr>
        <w:t>3</w:t>
      </w:r>
      <w:r>
        <w:rPr>
          <w:rFonts w:hint="eastAsia" w:ascii="宋体" w:hAnsi="宋体" w:eastAsia="宋体" w:cs="宋体"/>
          <w:sz w:val="24"/>
        </w:rPr>
        <w:t>）本次信息系统安全等级保护测评实施过程中所使用到的各种工具软件由投标人推荐，经招标人确认后由投标人提供并在信息系统等级保护测评中使用</w:t>
      </w:r>
      <w:r>
        <w:rPr>
          <w:rFonts w:hint="default" w:ascii="宋体" w:hAnsi="宋体" w:eastAsia="宋体" w:cs="宋体"/>
          <w:sz w:val="24"/>
        </w:rPr>
        <w:t>。</w:t>
      </w:r>
      <w:r>
        <w:rPr>
          <w:rFonts w:hint="eastAsia" w:ascii="宋体" w:hAnsi="宋体" w:eastAsia="宋体" w:cs="宋体"/>
          <w:sz w:val="24"/>
        </w:rPr>
        <w:t>信息系统安全等级保护测评需要的运行环境（如场地、网络环境等）由招标人提供，供应商应详细描述需要的运行环境的具体要求。</w:t>
      </w:r>
    </w:p>
    <w:p w14:paraId="3F47F9E3">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Calibri" w:hAnsi="Calibri" w:eastAsia="宋体" w:cs="Times New Roman"/>
          <w:sz w:val="24"/>
        </w:rPr>
      </w:pPr>
      <w:r>
        <w:rPr>
          <w:rFonts w:hint="eastAsia" w:ascii="宋体" w:hAnsi="宋体" w:eastAsia="宋体" w:cs="宋体"/>
          <w:sz w:val="24"/>
        </w:rPr>
        <w:t>（</w:t>
      </w:r>
      <w:r>
        <w:rPr>
          <w:rFonts w:hint="eastAsia" w:ascii="宋体" w:hAnsi="宋体" w:eastAsia="宋体" w:cs="宋体"/>
          <w:sz w:val="24"/>
          <w:lang w:val="en-US" w:eastAsia="zh-CN"/>
        </w:rPr>
        <w:t>4</w:t>
      </w:r>
      <w:r>
        <w:rPr>
          <w:rFonts w:hint="eastAsia" w:ascii="宋体" w:hAnsi="宋体" w:eastAsia="宋体" w:cs="宋体"/>
          <w:sz w:val="24"/>
        </w:rPr>
        <w:t>）本次</w:t>
      </w:r>
      <w:r>
        <w:rPr>
          <w:rFonts w:hint="eastAsia" w:ascii="宋体" w:hAnsi="宋体" w:eastAsia="宋体" w:cs="宋体"/>
          <w:sz w:val="24"/>
          <w:lang w:eastAsia="zh-Hans"/>
        </w:rPr>
        <w:t>项目实施团队需要具备项目所在</w:t>
      </w:r>
      <w:r>
        <w:rPr>
          <w:rFonts w:hint="eastAsia" w:ascii="宋体" w:hAnsi="宋体" w:eastAsia="宋体" w:cs="宋体"/>
          <w:sz w:val="24"/>
          <w:lang w:val="en-US" w:eastAsia="zh-Hans"/>
        </w:rPr>
        <w:t>省</w:t>
      </w:r>
      <w:r>
        <w:rPr>
          <w:rFonts w:hint="eastAsia" w:ascii="宋体" w:hAnsi="宋体" w:eastAsia="宋体" w:cs="宋体"/>
          <w:sz w:val="24"/>
          <w:lang w:eastAsia="zh-Hans"/>
        </w:rPr>
        <w:t>常驻社保证明</w:t>
      </w:r>
      <w:r>
        <w:rPr>
          <w:rFonts w:ascii="宋体" w:hAnsi="宋体" w:eastAsia="宋体" w:cs="宋体"/>
          <w:sz w:val="24"/>
          <w:lang w:eastAsia="zh-Hans"/>
        </w:rPr>
        <w:t>，</w:t>
      </w:r>
      <w:r>
        <w:rPr>
          <w:rFonts w:hint="eastAsia" w:ascii="宋体" w:hAnsi="宋体" w:eastAsia="宋体" w:cs="宋体"/>
          <w:sz w:val="24"/>
          <w:lang w:eastAsia="zh-Hans"/>
        </w:rPr>
        <w:t>团队成员不少于</w:t>
      </w:r>
      <w:r>
        <w:rPr>
          <w:rFonts w:ascii="宋体" w:hAnsi="宋体" w:eastAsia="宋体" w:cs="宋体"/>
          <w:sz w:val="24"/>
          <w:lang w:eastAsia="zh-Hans"/>
        </w:rPr>
        <w:t>10</w:t>
      </w:r>
      <w:r>
        <w:rPr>
          <w:rFonts w:hint="eastAsia" w:ascii="宋体" w:hAnsi="宋体" w:eastAsia="宋体" w:cs="宋体"/>
          <w:sz w:val="24"/>
          <w:lang w:eastAsia="zh-Hans"/>
        </w:rPr>
        <w:t>人</w:t>
      </w:r>
      <w:r>
        <w:rPr>
          <w:rFonts w:ascii="宋体" w:hAnsi="宋体" w:eastAsia="宋体" w:cs="宋体"/>
          <w:sz w:val="24"/>
          <w:lang w:eastAsia="zh-Hans"/>
        </w:rPr>
        <w:t>（</w:t>
      </w:r>
      <w:r>
        <w:rPr>
          <w:rFonts w:hint="eastAsia" w:ascii="宋体" w:hAnsi="宋体" w:eastAsia="宋体" w:cs="宋体"/>
          <w:sz w:val="24"/>
          <w:lang w:eastAsia="zh-Hans"/>
        </w:rPr>
        <w:t>需要提供近半年本地化社保证明</w:t>
      </w:r>
      <w:r>
        <w:rPr>
          <w:rFonts w:ascii="宋体" w:hAnsi="宋体" w:eastAsia="宋体" w:cs="宋体"/>
          <w:sz w:val="24"/>
          <w:lang w:eastAsia="zh-Hans"/>
        </w:rPr>
        <w:t>）</w:t>
      </w:r>
      <w:r>
        <w:rPr>
          <w:rFonts w:hint="eastAsia" w:ascii="宋体" w:hAnsi="宋体" w:eastAsia="宋体" w:cs="宋体"/>
          <w:sz w:val="24"/>
        </w:rPr>
        <w:t>。</w:t>
      </w:r>
    </w:p>
    <w:p w14:paraId="232602AB">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hint="eastAsia" w:ascii="宋体" w:hAnsi="宋体" w:eastAsia="宋体" w:cs="宋体"/>
          <w:sz w:val="24"/>
        </w:rPr>
      </w:pPr>
      <w:r>
        <w:rPr>
          <w:rFonts w:hint="default" w:ascii="宋体" w:hAnsi="宋体" w:eastAsia="宋体" w:cs="宋体"/>
          <w:sz w:val="24"/>
        </w:rPr>
        <w:t>（</w:t>
      </w:r>
      <w:r>
        <w:rPr>
          <w:rFonts w:hint="eastAsia" w:ascii="宋体" w:hAnsi="宋体" w:eastAsia="宋体" w:cs="宋体"/>
          <w:sz w:val="24"/>
          <w:lang w:val="en-US" w:eastAsia="zh-CN"/>
        </w:rPr>
        <w:t>5</w:t>
      </w:r>
      <w:r>
        <w:rPr>
          <w:rFonts w:hint="default" w:ascii="宋体" w:hAnsi="宋体" w:eastAsia="宋体" w:cs="宋体"/>
          <w:sz w:val="24"/>
        </w:rPr>
        <w:t>）</w:t>
      </w:r>
      <w:r>
        <w:rPr>
          <w:rFonts w:hint="eastAsia" w:ascii="宋体" w:hAnsi="宋体" w:eastAsia="宋体" w:cs="宋体"/>
          <w:sz w:val="24"/>
        </w:rPr>
        <w:t>如为异地测评机构需要严格落实异地测评备案手续，投标文件必须提供省级网络安全等级保护领导小组办公室出具盖章版的《等级测评机构异地测评项目备案表》.</w:t>
      </w:r>
    </w:p>
    <w:p w14:paraId="6A5ED81D">
      <w:pPr>
        <w:pageBreakBefore w:val="0"/>
        <w:widowControl w:val="0"/>
        <w:kinsoku/>
        <w:wordWrap/>
        <w:overflowPunct/>
        <w:topLinePunct w:val="0"/>
        <w:bidi w:val="0"/>
        <w:snapToGrid/>
        <w:spacing w:after="0" w:line="400" w:lineRule="exact"/>
        <w:jc w:val="both"/>
        <w:textAlignment w:val="auto"/>
        <w:rPr>
          <w:rFonts w:ascii="Times New Roman" w:hAnsi="Times New Roman" w:eastAsia="宋体" w:cs="Times New Roman"/>
          <w:kern w:val="2"/>
          <w:sz w:val="21"/>
          <w:szCs w:val="24"/>
          <w:lang w:val="en-US" w:eastAsia="zh-CN" w:bidi="ar-SA"/>
        </w:rPr>
      </w:pPr>
    </w:p>
    <w:p w14:paraId="0C7095AA">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1.6专用工具要求</w:t>
      </w:r>
    </w:p>
    <w:p w14:paraId="66AB475E">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本项目涉及工程实施和验收测试所需的工具，由</w:t>
      </w:r>
      <w:r>
        <w:rPr>
          <w:rFonts w:hint="eastAsia" w:ascii="宋体" w:hAnsi="宋体" w:eastAsia="宋体" w:cs="宋体"/>
          <w:sz w:val="24"/>
          <w:lang w:eastAsia="zh-CN"/>
        </w:rPr>
        <w:t>供应商</w:t>
      </w:r>
      <w:r>
        <w:rPr>
          <w:rFonts w:hint="eastAsia" w:ascii="宋体" w:hAnsi="宋体" w:eastAsia="宋体" w:cs="宋体"/>
          <w:sz w:val="24"/>
        </w:rPr>
        <w:t>负责提供。用于测评的工具主要包括服务器安全测评工具、网络设备安全测评工具、终端计算机安全测评工具、网站等应用系统安全测评工具等。在使用前，应对工具进行测评，如果需要则对工具进行软件或代码升级。</w:t>
      </w:r>
    </w:p>
    <w:p w14:paraId="5F55EEA7">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val="0"/>
          <w:bCs w:val="0"/>
          <w:kern w:val="2"/>
          <w:sz w:val="28"/>
          <w:szCs w:val="28"/>
          <w:lang w:val="en-US" w:eastAsia="zh-CN" w:bidi="ar-SA"/>
        </w:rPr>
      </w:pPr>
      <w:r>
        <w:rPr>
          <w:rFonts w:hint="eastAsia" w:ascii="宋体" w:hAnsi="宋体" w:eastAsia="宋体" w:cs="宋体"/>
          <w:b w:val="0"/>
          <w:bCs w:val="0"/>
          <w:kern w:val="2"/>
          <w:sz w:val="28"/>
          <w:szCs w:val="28"/>
          <w:lang w:val="en-US" w:eastAsia="zh-CN" w:bidi="ar-SA"/>
        </w:rPr>
        <w:t>1.7安全管理要求</w:t>
      </w:r>
    </w:p>
    <w:p w14:paraId="4E432529">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为做好全过程的安全保密工作，在等级保护测评前、中、后三个阶段都要做好安全保密工作。</w:t>
      </w:r>
    </w:p>
    <w:p w14:paraId="5C285ED3">
      <w:pPr>
        <w:pageBreakBefore w:val="0"/>
        <w:widowControl w:val="0"/>
        <w:kinsoku/>
        <w:wordWrap/>
        <w:overflowPunct/>
        <w:topLinePunct w:val="0"/>
        <w:autoSpaceDE w:val="0"/>
        <w:autoSpaceDN w:val="0"/>
        <w:bidi w:val="0"/>
        <w:adjustRightInd w:val="0"/>
        <w:snapToGrid/>
        <w:spacing w:line="400" w:lineRule="exact"/>
        <w:jc w:val="left"/>
        <w:textAlignment w:val="auto"/>
        <w:rPr>
          <w:rFonts w:ascii="宋体" w:hAnsi="宋体" w:eastAsia="宋体" w:cs="宋体"/>
          <w:b/>
          <w:sz w:val="24"/>
        </w:rPr>
      </w:pPr>
      <w:r>
        <w:rPr>
          <w:rFonts w:hint="eastAsia" w:ascii="宋体" w:hAnsi="宋体" w:eastAsia="宋体" w:cs="宋体"/>
          <w:b/>
          <w:sz w:val="24"/>
        </w:rPr>
        <w:t>(1)等级保护测评前</w:t>
      </w:r>
    </w:p>
    <w:p w14:paraId="68C6C548">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1）对等级保护测评人员要进行安全保密教育，制定安全保密措施；</w:t>
      </w:r>
    </w:p>
    <w:p w14:paraId="6C1EDD9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2）签订安全保密协议。</w:t>
      </w:r>
    </w:p>
    <w:p w14:paraId="399FD94E">
      <w:pPr>
        <w:pageBreakBefore w:val="0"/>
        <w:widowControl w:val="0"/>
        <w:kinsoku/>
        <w:wordWrap/>
        <w:overflowPunct/>
        <w:topLinePunct w:val="0"/>
        <w:autoSpaceDE w:val="0"/>
        <w:autoSpaceDN w:val="0"/>
        <w:bidi w:val="0"/>
        <w:adjustRightInd w:val="0"/>
        <w:snapToGrid/>
        <w:spacing w:line="400" w:lineRule="exact"/>
        <w:jc w:val="left"/>
        <w:textAlignment w:val="auto"/>
        <w:rPr>
          <w:rFonts w:ascii="宋体" w:hAnsi="宋体" w:eastAsia="宋体" w:cs="宋体"/>
          <w:b/>
          <w:sz w:val="24"/>
        </w:rPr>
      </w:pPr>
      <w:r>
        <w:rPr>
          <w:rFonts w:hint="eastAsia" w:ascii="宋体" w:hAnsi="宋体" w:eastAsia="宋体" w:cs="宋体"/>
          <w:b/>
          <w:sz w:val="24"/>
        </w:rPr>
        <w:t>(2)等级保护测评中</w:t>
      </w:r>
    </w:p>
    <w:p w14:paraId="433ECA07">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1）对被测单位的性质、机房物理位置、网络与系统、应用与服务、资料与数据、人员与管理等方面的信息进行严格的安全保密管理；</w:t>
      </w:r>
    </w:p>
    <w:p w14:paraId="0CFBA7CD">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2）等级保护测评工具应经过严格测试和检验，确保不对被测评系统造成损失，工作结束后不驻留任何程序；</w:t>
      </w:r>
    </w:p>
    <w:p w14:paraId="6BF33389">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3）对被测单位信息系统的信息资产、发现的脆弱性和发生过的安全事件等威胁情况要控制知情范围；</w:t>
      </w:r>
    </w:p>
    <w:p w14:paraId="1511ED21">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4）对测评设备、介质进行严格的保密管理；</w:t>
      </w:r>
    </w:p>
    <w:p w14:paraId="49B80CF6">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5）工作过程中对人员要实施封闭式集中管理；</w:t>
      </w:r>
    </w:p>
    <w:p w14:paraId="67B96FAE">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6）对进场人员遵守被测单位的相关管理规定。</w:t>
      </w:r>
    </w:p>
    <w:p w14:paraId="0C577C88">
      <w:pPr>
        <w:pageBreakBefore w:val="0"/>
        <w:kinsoku/>
        <w:wordWrap/>
        <w:overflowPunct/>
        <w:topLinePunct w:val="0"/>
        <w:autoSpaceDE w:val="0"/>
        <w:autoSpaceDN w:val="0"/>
        <w:bidi w:val="0"/>
        <w:adjustRightInd w:val="0"/>
        <w:snapToGrid/>
        <w:spacing w:line="400" w:lineRule="exact"/>
        <w:jc w:val="left"/>
        <w:textAlignment w:val="auto"/>
        <w:rPr>
          <w:rFonts w:ascii="宋体" w:hAnsi="宋体" w:eastAsia="宋体" w:cs="宋体"/>
          <w:b/>
          <w:sz w:val="24"/>
        </w:rPr>
      </w:pPr>
      <w:r>
        <w:rPr>
          <w:rFonts w:hint="eastAsia" w:ascii="宋体" w:hAnsi="宋体" w:eastAsia="宋体" w:cs="宋体"/>
          <w:b/>
          <w:sz w:val="24"/>
        </w:rPr>
        <w:t>(3)等级保护测评后</w:t>
      </w:r>
    </w:p>
    <w:p w14:paraId="58E98BDA">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1）认真清退各种文档、资料和数据并予以销毁，确保工作过程中敏感数据不被泄漏；</w:t>
      </w:r>
    </w:p>
    <w:p w14:paraId="05E86E21">
      <w:pPr>
        <w:pageBreakBefore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2）现场工作结束后，按被测单位的要求及时还原系统，确保系统中不遗留任何代码或可执行程序；</w:t>
      </w:r>
    </w:p>
    <w:p w14:paraId="2E13D401">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3）在其他风险测评任务或宣传材料中不涉及被测单位的秘密、敏感情况。</w:t>
      </w:r>
    </w:p>
    <w:p w14:paraId="12C72F66">
      <w:pPr>
        <w:keepNext/>
        <w:keepLines/>
        <w:pageBreakBefore w:val="0"/>
        <w:widowControl w:val="0"/>
        <w:kinsoku/>
        <w:wordWrap/>
        <w:overflowPunct/>
        <w:topLinePunct w:val="0"/>
        <w:bidi w:val="0"/>
        <w:snapToGrid/>
        <w:spacing w:before="0" w:after="0" w:line="400" w:lineRule="exact"/>
        <w:jc w:val="both"/>
        <w:textAlignment w:val="auto"/>
        <w:outlineLvl w:val="3"/>
        <w:rPr>
          <w:rFonts w:ascii="宋体" w:hAnsi="宋体" w:eastAsia="宋体" w:cs="宋体"/>
          <w:b/>
          <w:bCs w:val="0"/>
          <w:kern w:val="2"/>
          <w:sz w:val="28"/>
          <w:szCs w:val="28"/>
          <w:lang w:val="en-US" w:eastAsia="zh-CN" w:bidi="ar-SA"/>
        </w:rPr>
      </w:pPr>
      <w:r>
        <w:rPr>
          <w:rFonts w:hint="eastAsia" w:ascii="宋体" w:hAnsi="宋体" w:eastAsia="宋体" w:cs="宋体"/>
          <w:b/>
          <w:bCs w:val="0"/>
          <w:kern w:val="2"/>
          <w:sz w:val="28"/>
          <w:szCs w:val="28"/>
          <w:lang w:val="en-US" w:eastAsia="zh-CN" w:bidi="ar-SA"/>
        </w:rPr>
        <w:t>1.7售后服务</w:t>
      </w:r>
    </w:p>
    <w:p w14:paraId="1DD99372">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按要求</w:t>
      </w:r>
      <w:r>
        <w:rPr>
          <w:rFonts w:hint="eastAsia" w:ascii="宋体" w:hAnsi="宋体" w:eastAsia="宋体" w:cs="宋体"/>
          <w:kern w:val="0"/>
          <w:sz w:val="24"/>
          <w:lang w:val="en-US" w:eastAsia="zh-Hans"/>
        </w:rPr>
        <w:t>完成技术要求</w:t>
      </w:r>
      <w:r>
        <w:rPr>
          <w:rFonts w:hint="eastAsia" w:ascii="宋体" w:hAnsi="宋体" w:eastAsia="宋体" w:cs="宋体"/>
          <w:kern w:val="0"/>
          <w:sz w:val="24"/>
        </w:rPr>
        <w:t>规定的所有条款</w:t>
      </w:r>
      <w:r>
        <w:rPr>
          <w:rFonts w:hint="eastAsia" w:ascii="宋体" w:hAnsi="宋体" w:eastAsia="宋体" w:cs="宋体"/>
          <w:kern w:val="0"/>
          <w:sz w:val="24"/>
          <w:lang w:val="en-US" w:eastAsia="zh-Hans"/>
        </w:rPr>
        <w:t>和</w:t>
      </w:r>
      <w:r>
        <w:rPr>
          <w:rFonts w:hint="eastAsia" w:ascii="宋体" w:hAnsi="宋体" w:eastAsia="宋体" w:cs="宋体"/>
          <w:kern w:val="0"/>
          <w:sz w:val="24"/>
        </w:rPr>
        <w:t>要求，</w:t>
      </w:r>
      <w:r>
        <w:rPr>
          <w:rFonts w:hint="eastAsia" w:ascii="宋体" w:hAnsi="宋体" w:eastAsia="宋体" w:cs="宋体"/>
          <w:kern w:val="0"/>
          <w:sz w:val="24"/>
          <w:lang w:val="en-US" w:eastAsia="zh-Hans"/>
        </w:rPr>
        <w:t>协助</w:t>
      </w:r>
      <w:r>
        <w:rPr>
          <w:rFonts w:hint="eastAsia" w:ascii="宋体" w:hAnsi="宋体" w:eastAsia="宋体" w:cs="宋体"/>
          <w:kern w:val="0"/>
          <w:sz w:val="24"/>
        </w:rPr>
        <w:t>完成相关政府部门的信息安全等级保护相关（</w:t>
      </w:r>
      <w:r>
        <w:rPr>
          <w:rFonts w:hint="eastAsia" w:ascii="宋体" w:hAnsi="宋体" w:eastAsia="宋体" w:cs="宋体"/>
          <w:kern w:val="0"/>
          <w:sz w:val="24"/>
          <w:lang w:val="en-US" w:eastAsia="zh-Hans"/>
        </w:rPr>
        <w:t>备案</w:t>
      </w:r>
      <w:r>
        <w:rPr>
          <w:rFonts w:hint="eastAsia" w:ascii="宋体" w:hAnsi="宋体" w:eastAsia="宋体" w:cs="宋体"/>
          <w:kern w:val="0"/>
          <w:sz w:val="24"/>
        </w:rPr>
        <w:t>、整改等）工作要求。</w:t>
      </w:r>
    </w:p>
    <w:p w14:paraId="0E54F4EA">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针对突发安全应急事件，如:发生网络入侵事件、大规模病毒爆发、遭受拒绝服务攻击等，在收到应急响应服务请求，提供半小时内远程响应，以远程</w:t>
      </w:r>
      <w:r>
        <w:rPr>
          <w:rFonts w:hint="default" w:ascii="宋体" w:hAnsi="宋体" w:eastAsia="宋体" w:cs="宋体"/>
          <w:kern w:val="0"/>
          <w:sz w:val="24"/>
        </w:rPr>
        <w:t>/</w:t>
      </w:r>
      <w:r>
        <w:rPr>
          <w:rFonts w:hint="eastAsia" w:ascii="宋体" w:hAnsi="宋体" w:eastAsia="宋体" w:cs="宋体"/>
          <w:kern w:val="0"/>
          <w:sz w:val="24"/>
          <w:lang w:val="en-US" w:eastAsia="zh-Hans"/>
        </w:rPr>
        <w:t>本地化</w:t>
      </w:r>
      <w:r>
        <w:rPr>
          <w:rFonts w:hint="eastAsia" w:ascii="宋体" w:hAnsi="宋体" w:eastAsia="宋体" w:cs="宋体"/>
          <w:kern w:val="0"/>
          <w:sz w:val="24"/>
        </w:rPr>
        <w:t>的方式协助查明安全事件原因，确定安全事件的威胁和破坏的严重程度，安全资深专家</w:t>
      </w:r>
      <w:r>
        <w:rPr>
          <w:rFonts w:hint="eastAsia" w:ascii="宋体" w:hAnsi="宋体" w:eastAsia="宋体" w:cs="宋体"/>
          <w:kern w:val="0"/>
          <w:sz w:val="24"/>
          <w:lang w:val="en-US" w:eastAsia="zh-CN"/>
        </w:rPr>
        <w:t>3</w:t>
      </w:r>
      <w:r>
        <w:rPr>
          <w:rFonts w:hint="eastAsia" w:ascii="宋体" w:hAnsi="宋体" w:eastAsia="宋体" w:cs="宋体"/>
          <w:kern w:val="0"/>
          <w:sz w:val="24"/>
        </w:rPr>
        <w:t>个小时内到达现场，立即对入侵事件进行分析、检测完成后给出应急响应报告。</w:t>
      </w:r>
    </w:p>
    <w:p w14:paraId="4C794BC1">
      <w:pPr>
        <w:keepNext/>
        <w:keepLines/>
        <w:pageBreakBefore w:val="0"/>
        <w:widowControl w:val="0"/>
        <w:kinsoku/>
        <w:wordWrap/>
        <w:overflowPunct/>
        <w:topLinePunct w:val="0"/>
        <w:bidi w:val="0"/>
        <w:snapToGrid/>
        <w:spacing w:before="0" w:after="0" w:line="400" w:lineRule="exact"/>
        <w:jc w:val="both"/>
        <w:textAlignment w:val="auto"/>
        <w:outlineLvl w:val="2"/>
        <w:rPr>
          <w:rFonts w:ascii="宋体" w:hAnsi="宋体" w:eastAsia="宋体" w:cs="宋体"/>
          <w:b w:val="0"/>
          <w:bCs w:val="0"/>
          <w:kern w:val="2"/>
          <w:sz w:val="32"/>
          <w:szCs w:val="32"/>
          <w:lang w:val="en-US" w:eastAsia="zh-CN" w:bidi="ar-SA"/>
        </w:rPr>
      </w:pPr>
      <w:r>
        <w:rPr>
          <w:rFonts w:hint="eastAsia" w:ascii="宋体" w:hAnsi="宋体" w:eastAsia="宋体" w:cs="宋体"/>
          <w:b w:val="0"/>
          <w:bCs w:val="0"/>
          <w:kern w:val="2"/>
          <w:sz w:val="32"/>
          <w:szCs w:val="32"/>
          <w:lang w:val="en-US" w:eastAsia="zh-CN" w:bidi="ar-SA"/>
        </w:rPr>
        <w:t>2、具体实施要求</w:t>
      </w:r>
    </w:p>
    <w:p w14:paraId="5756F01E">
      <w:pPr>
        <w:keepNext/>
        <w:keepLines/>
        <w:pageBreakBefore w:val="0"/>
        <w:widowControl w:val="0"/>
        <w:kinsoku/>
        <w:wordWrap/>
        <w:overflowPunct/>
        <w:topLinePunct w:val="0"/>
        <w:bidi w:val="0"/>
        <w:snapToGrid/>
        <w:spacing w:before="0" w:after="0" w:line="400" w:lineRule="exact"/>
        <w:jc w:val="both"/>
        <w:textAlignment w:val="auto"/>
        <w:outlineLvl w:val="3"/>
        <w:rPr>
          <w:rFonts w:ascii="Arial" w:hAnsi="Arial" w:eastAsia="黑体" w:cs="Times New Roman"/>
          <w:b/>
          <w:bCs w:val="0"/>
          <w:kern w:val="2"/>
          <w:sz w:val="24"/>
          <w:szCs w:val="20"/>
          <w:lang w:val="en-US" w:eastAsia="zh-CN" w:bidi="ar-SA"/>
        </w:rPr>
      </w:pPr>
      <w:r>
        <w:rPr>
          <w:rFonts w:hint="eastAsia" w:ascii="宋体" w:hAnsi="宋体" w:eastAsia="宋体" w:cs="宋体"/>
          <w:b w:val="0"/>
          <w:bCs w:val="0"/>
          <w:kern w:val="2"/>
          <w:sz w:val="28"/>
          <w:szCs w:val="28"/>
          <w:lang w:val="en-US" w:eastAsia="zh-CN" w:bidi="ar-SA"/>
        </w:rPr>
        <w:t>2.1项目定级备案</w:t>
      </w:r>
    </w:p>
    <w:p w14:paraId="286AEFF2">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lang w:eastAsia="zh-CN"/>
        </w:rPr>
        <w:t>供应商</w:t>
      </w:r>
      <w:r>
        <w:rPr>
          <w:rFonts w:hint="eastAsia" w:ascii="宋体" w:hAnsi="宋体" w:eastAsia="宋体" w:cs="宋体"/>
          <w:kern w:val="0"/>
          <w:sz w:val="24"/>
        </w:rPr>
        <w:t>应梳理现有的信息系统，严格按照《信息安全技术 信息系统安全保护等级定级指南》的要求，对信息系统的级别进行划定。完成信息系统定级报告及定级材料的准备、整理，指导用户方完成信息系统去公安机关的备案工作。</w:t>
      </w:r>
    </w:p>
    <w:p w14:paraId="06745B61">
      <w:pPr>
        <w:keepNext/>
        <w:keepLines/>
        <w:pageBreakBefore w:val="0"/>
        <w:widowControl w:val="0"/>
        <w:kinsoku/>
        <w:wordWrap/>
        <w:overflowPunct/>
        <w:topLinePunct w:val="0"/>
        <w:bidi w:val="0"/>
        <w:snapToGrid/>
        <w:spacing w:before="0" w:after="0" w:line="400" w:lineRule="exact"/>
        <w:jc w:val="both"/>
        <w:textAlignment w:val="auto"/>
        <w:outlineLvl w:val="3"/>
        <w:rPr>
          <w:rFonts w:ascii="Arial" w:hAnsi="Arial" w:eastAsia="黑体" w:cs="Times New Roman"/>
          <w:b/>
          <w:bCs w:val="0"/>
          <w:kern w:val="2"/>
          <w:sz w:val="24"/>
          <w:szCs w:val="20"/>
          <w:lang w:val="en-US" w:eastAsia="zh-CN" w:bidi="ar-SA"/>
        </w:rPr>
      </w:pPr>
      <w:r>
        <w:rPr>
          <w:rFonts w:hint="eastAsia" w:ascii="宋体" w:hAnsi="宋体" w:eastAsia="宋体" w:cs="宋体"/>
          <w:b w:val="0"/>
          <w:bCs w:val="0"/>
          <w:kern w:val="2"/>
          <w:sz w:val="28"/>
          <w:szCs w:val="28"/>
          <w:lang w:val="en-US" w:eastAsia="zh-CN" w:bidi="ar-SA"/>
        </w:rPr>
        <w:t>2.2项目测评内容</w:t>
      </w:r>
    </w:p>
    <w:p w14:paraId="1B9B91F2">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根据国家等级保护相关标准《GBT22239-2019 网络安全等级保护基本要求》，对重要信息系统等级保护测评项目应包括以下内容：</w:t>
      </w:r>
    </w:p>
    <w:p w14:paraId="3EA70B66">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安全技术测评：包括安全物理环境、安全通信网络、安全区域边界、安全计算环境、安全管理中心等五个方面的安全测评；</w:t>
      </w:r>
    </w:p>
    <w:p w14:paraId="3F2FA0AF">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安全管理测评：包括安全管理制度、安全管理机构、安全管理人员、安全建设管理、安全运维管理等五个方面的安全测评。</w:t>
      </w:r>
    </w:p>
    <w:p w14:paraId="324E1E4F">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服务内容：</w:t>
      </w:r>
    </w:p>
    <w:p w14:paraId="2F7343F8">
      <w:pPr>
        <w:pageBreakBefore w:val="0"/>
        <w:widowControl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1、协助开展系统和重要信息系统的自查自评估工作，对存在的风险隐患和安全问题及时提供有针对性的安全整改建议，保障整改措施的落实，完成重要信息系统的定级、备案等相关工作；</w:t>
      </w:r>
    </w:p>
    <w:p w14:paraId="0E25D7E5">
      <w:pPr>
        <w:pageBreakBefore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2、依据《信息系统安全等级保护基本要求》，从安全技术和管理两个方面共十个层面对信息系统进行等级测评，出具等级测评报告；</w:t>
      </w:r>
    </w:p>
    <w:p w14:paraId="39DA6EFD">
      <w:pPr>
        <w:pageBreakBefore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3、针对信息系统等保测评实施过程中发现的安全隐患和薄弱环节，提供安全建设整改和安全加固方面的咨询。</w:t>
      </w:r>
    </w:p>
    <w:p w14:paraId="21786C24">
      <w:pPr>
        <w:pageBreakBefore w:val="0"/>
        <w:kinsoku/>
        <w:wordWrap/>
        <w:overflowPunct/>
        <w:topLinePunct w:val="0"/>
        <w:bidi w:val="0"/>
        <w:snapToGrid/>
        <w:spacing w:line="400" w:lineRule="exact"/>
        <w:ind w:firstLine="480" w:firstLineChars="200"/>
        <w:textAlignment w:val="auto"/>
        <w:rPr>
          <w:rFonts w:ascii="宋体" w:hAnsi="宋体" w:eastAsia="宋体" w:cs="宋体"/>
          <w:kern w:val="0"/>
          <w:sz w:val="24"/>
        </w:rPr>
      </w:pPr>
      <w:r>
        <w:rPr>
          <w:rFonts w:hint="eastAsia" w:ascii="宋体" w:hAnsi="宋体" w:eastAsia="宋体" w:cs="宋体"/>
          <w:kern w:val="0"/>
          <w:sz w:val="24"/>
        </w:rPr>
        <w:t>4、提供安全服务，及时发现信息系统中存在安全隐患和威胁，进一步开展安全建设指导工作，及时、有效、正确的预防和阻止各种黑客攻击。</w:t>
      </w:r>
    </w:p>
    <w:tbl>
      <w:tblPr>
        <w:tblStyle w:val="22"/>
        <w:tblW w:w="9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59"/>
        <w:gridCol w:w="2410"/>
        <w:gridCol w:w="5004"/>
      </w:tblGrid>
      <w:tr w14:paraId="02CDD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759" w:type="dxa"/>
            <w:vAlign w:val="center"/>
          </w:tcPr>
          <w:p w14:paraId="7883B5FE">
            <w:pPr>
              <w:pageBreakBefore w:val="0"/>
              <w:widowControl/>
              <w:kinsoku/>
              <w:wordWrap/>
              <w:overflowPunct/>
              <w:topLinePunct w:val="0"/>
              <w:bidi w:val="0"/>
              <w:snapToGrid/>
              <w:spacing w:line="400" w:lineRule="exact"/>
              <w:textAlignment w:val="auto"/>
              <w:rPr>
                <w:rFonts w:ascii="宋体" w:hAnsi="宋体" w:eastAsia="宋体" w:cs="宋体"/>
                <w:b/>
                <w:sz w:val="24"/>
              </w:rPr>
            </w:pPr>
            <w:r>
              <w:rPr>
                <w:rFonts w:hint="eastAsia" w:ascii="宋体" w:hAnsi="宋体" w:eastAsia="宋体" w:cs="宋体"/>
                <w:b/>
                <w:sz w:val="24"/>
              </w:rPr>
              <w:t>项目</w:t>
            </w:r>
          </w:p>
        </w:tc>
        <w:tc>
          <w:tcPr>
            <w:tcW w:w="2410" w:type="dxa"/>
            <w:vAlign w:val="center"/>
          </w:tcPr>
          <w:p w14:paraId="3135F6DA">
            <w:pPr>
              <w:pageBreakBefore w:val="0"/>
              <w:widowControl/>
              <w:kinsoku/>
              <w:wordWrap/>
              <w:overflowPunct/>
              <w:topLinePunct w:val="0"/>
              <w:bidi w:val="0"/>
              <w:snapToGrid/>
              <w:spacing w:line="400" w:lineRule="exact"/>
              <w:jc w:val="center"/>
              <w:textAlignment w:val="auto"/>
              <w:rPr>
                <w:rFonts w:ascii="宋体" w:hAnsi="宋体" w:eastAsia="宋体" w:cs="宋体"/>
                <w:b/>
                <w:sz w:val="24"/>
              </w:rPr>
            </w:pPr>
            <w:r>
              <w:rPr>
                <w:rFonts w:hint="eastAsia" w:ascii="宋体" w:hAnsi="宋体" w:eastAsia="宋体" w:cs="宋体"/>
                <w:b/>
                <w:sz w:val="24"/>
              </w:rPr>
              <w:t>服务内容</w:t>
            </w:r>
          </w:p>
        </w:tc>
        <w:tc>
          <w:tcPr>
            <w:tcW w:w="5004" w:type="dxa"/>
            <w:vAlign w:val="center"/>
          </w:tcPr>
          <w:p w14:paraId="1C1E6A4D">
            <w:pPr>
              <w:pageBreakBefore w:val="0"/>
              <w:widowControl/>
              <w:kinsoku/>
              <w:wordWrap/>
              <w:overflowPunct/>
              <w:topLinePunct w:val="0"/>
              <w:bidi w:val="0"/>
              <w:snapToGrid/>
              <w:spacing w:line="400" w:lineRule="exact"/>
              <w:jc w:val="center"/>
              <w:textAlignment w:val="auto"/>
              <w:rPr>
                <w:rFonts w:ascii="宋体" w:hAnsi="宋体" w:eastAsia="宋体" w:cs="宋体"/>
                <w:b/>
                <w:sz w:val="24"/>
              </w:rPr>
            </w:pPr>
            <w:r>
              <w:rPr>
                <w:rFonts w:hint="eastAsia" w:ascii="宋体" w:hAnsi="宋体" w:eastAsia="宋体" w:cs="宋体"/>
                <w:b/>
                <w:sz w:val="24"/>
              </w:rPr>
              <w:t>工作描述</w:t>
            </w:r>
          </w:p>
        </w:tc>
      </w:tr>
      <w:tr w14:paraId="67955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759" w:type="dxa"/>
            <w:vMerge w:val="restart"/>
            <w:vAlign w:val="center"/>
          </w:tcPr>
          <w:p w14:paraId="15190651">
            <w:pPr>
              <w:pageBreakBefore w:val="0"/>
              <w:widowControl/>
              <w:kinsoku/>
              <w:wordWrap/>
              <w:overflowPunct/>
              <w:topLinePunct w:val="0"/>
              <w:bidi w:val="0"/>
              <w:snapToGrid/>
              <w:spacing w:line="400" w:lineRule="exact"/>
              <w:jc w:val="center"/>
              <w:textAlignment w:val="auto"/>
              <w:rPr>
                <w:rFonts w:ascii="宋体" w:hAnsi="宋体" w:eastAsia="宋体" w:cs="宋体"/>
                <w:sz w:val="24"/>
              </w:rPr>
            </w:pPr>
            <w:r>
              <w:rPr>
                <w:rFonts w:hint="eastAsia" w:ascii="宋体" w:hAnsi="宋体" w:eastAsia="宋体" w:cs="宋体"/>
                <w:sz w:val="24"/>
              </w:rPr>
              <w:t>等级测评</w:t>
            </w:r>
          </w:p>
        </w:tc>
        <w:tc>
          <w:tcPr>
            <w:tcW w:w="2410" w:type="dxa"/>
            <w:vAlign w:val="center"/>
          </w:tcPr>
          <w:p w14:paraId="1CA672F9">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项目准备及现场调研</w:t>
            </w:r>
          </w:p>
        </w:tc>
        <w:tc>
          <w:tcPr>
            <w:tcW w:w="5004" w:type="dxa"/>
            <w:vAlign w:val="center"/>
          </w:tcPr>
          <w:p w14:paraId="27EDB628">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协助对信息系统物理环境、网络、终端、数据、安全管理等进行调研。</w:t>
            </w:r>
          </w:p>
        </w:tc>
      </w:tr>
      <w:tr w14:paraId="3FB97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759" w:type="dxa"/>
            <w:vMerge w:val="continue"/>
          </w:tcPr>
          <w:p w14:paraId="2E323B6B">
            <w:pPr>
              <w:pageBreakBefore w:val="0"/>
              <w:widowControl/>
              <w:kinsoku/>
              <w:wordWrap/>
              <w:overflowPunct/>
              <w:topLinePunct w:val="0"/>
              <w:bidi w:val="0"/>
              <w:snapToGrid/>
              <w:spacing w:line="400" w:lineRule="exact"/>
              <w:textAlignment w:val="auto"/>
              <w:rPr>
                <w:rFonts w:ascii="宋体" w:hAnsi="宋体" w:eastAsia="宋体" w:cs="宋体"/>
                <w:sz w:val="24"/>
              </w:rPr>
            </w:pPr>
          </w:p>
        </w:tc>
        <w:tc>
          <w:tcPr>
            <w:tcW w:w="2410" w:type="dxa"/>
            <w:vAlign w:val="center"/>
          </w:tcPr>
          <w:p w14:paraId="7B1A1B56">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信息系统定级、备案</w:t>
            </w:r>
          </w:p>
        </w:tc>
        <w:tc>
          <w:tcPr>
            <w:tcW w:w="5004" w:type="dxa"/>
            <w:vAlign w:val="center"/>
          </w:tcPr>
          <w:p w14:paraId="09D7BB7E">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疏理信息系统定级工作，完成信息系统定级报告及定级材料的准备；</w:t>
            </w:r>
            <w:r>
              <w:rPr>
                <w:rFonts w:hint="eastAsia" w:ascii="宋体" w:hAnsi="宋体" w:eastAsia="宋体" w:cs="宋体"/>
                <w:sz w:val="24"/>
              </w:rPr>
              <w:br w:type="textWrapping"/>
            </w:r>
            <w:r>
              <w:rPr>
                <w:rFonts w:hint="eastAsia" w:ascii="宋体" w:hAnsi="宋体" w:eastAsia="宋体" w:cs="宋体"/>
                <w:sz w:val="24"/>
              </w:rPr>
              <w:t>整理、补充信息系统备案所有相关的文档，指导用户方完成相应信息系统等级保护备案工作。</w:t>
            </w:r>
          </w:p>
        </w:tc>
      </w:tr>
      <w:tr w14:paraId="3C78C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1759" w:type="dxa"/>
            <w:vMerge w:val="continue"/>
          </w:tcPr>
          <w:p w14:paraId="7EE70714">
            <w:pPr>
              <w:pageBreakBefore w:val="0"/>
              <w:widowControl/>
              <w:kinsoku/>
              <w:wordWrap/>
              <w:overflowPunct/>
              <w:topLinePunct w:val="0"/>
              <w:bidi w:val="0"/>
              <w:snapToGrid/>
              <w:spacing w:line="400" w:lineRule="exact"/>
              <w:textAlignment w:val="auto"/>
              <w:rPr>
                <w:rFonts w:ascii="宋体" w:hAnsi="宋体" w:eastAsia="宋体" w:cs="宋体"/>
                <w:sz w:val="24"/>
              </w:rPr>
            </w:pPr>
          </w:p>
        </w:tc>
        <w:tc>
          <w:tcPr>
            <w:tcW w:w="2410" w:type="dxa"/>
            <w:vAlign w:val="center"/>
          </w:tcPr>
          <w:p w14:paraId="6CFFB684">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信息系统差距分析</w:t>
            </w:r>
          </w:p>
        </w:tc>
        <w:tc>
          <w:tcPr>
            <w:tcW w:w="5004" w:type="dxa"/>
            <w:vAlign w:val="center"/>
          </w:tcPr>
          <w:p w14:paraId="71734FA7">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对定级的信息系统，依照《信息系统安全等级保护基本要求》进行逐个对照，</w:t>
            </w:r>
            <w:r>
              <w:rPr>
                <w:rFonts w:hint="eastAsia" w:ascii="宋体" w:hAnsi="宋体" w:eastAsia="宋体" w:cs="宋体"/>
                <w:sz w:val="24"/>
                <w:lang w:val="en-US" w:eastAsia="zh-CN"/>
              </w:rPr>
              <w:t>由系统分析师</w:t>
            </w:r>
            <w:r>
              <w:rPr>
                <w:rFonts w:hint="eastAsia" w:ascii="宋体" w:hAnsi="宋体" w:eastAsia="宋体" w:cs="宋体"/>
                <w:sz w:val="24"/>
              </w:rPr>
              <w:t>分析信息系统安全情况与等级保护基本要求的差距，完成信息系统等级保护差距分析报告。</w:t>
            </w:r>
          </w:p>
        </w:tc>
      </w:tr>
      <w:tr w14:paraId="67A6D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759" w:type="dxa"/>
            <w:vMerge w:val="continue"/>
          </w:tcPr>
          <w:p w14:paraId="44D99794">
            <w:pPr>
              <w:pageBreakBefore w:val="0"/>
              <w:widowControl/>
              <w:kinsoku/>
              <w:wordWrap/>
              <w:overflowPunct/>
              <w:topLinePunct w:val="0"/>
              <w:bidi w:val="0"/>
              <w:snapToGrid/>
              <w:spacing w:line="400" w:lineRule="exact"/>
              <w:textAlignment w:val="auto"/>
              <w:rPr>
                <w:rFonts w:ascii="宋体" w:hAnsi="宋体" w:eastAsia="宋体" w:cs="宋体"/>
                <w:sz w:val="24"/>
              </w:rPr>
            </w:pPr>
          </w:p>
        </w:tc>
        <w:tc>
          <w:tcPr>
            <w:tcW w:w="2410" w:type="dxa"/>
            <w:vAlign w:val="center"/>
          </w:tcPr>
          <w:p w14:paraId="53C4E0B5">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等级保护安全整改</w:t>
            </w:r>
          </w:p>
        </w:tc>
        <w:tc>
          <w:tcPr>
            <w:tcW w:w="5004" w:type="dxa"/>
            <w:vAlign w:val="center"/>
          </w:tcPr>
          <w:p w14:paraId="78737AAB">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协助落实相关的等级保护建设整改工作，等级保护整改实施具体内容包括安全管理制度修订、安全技术整改、形成安全配置基线、辅助进行安全增强配置和调试指导工作等工作内容，提升信息系统的安全防护能力，确保信息系统满足国家等级保护相应等级要求。</w:t>
            </w:r>
          </w:p>
        </w:tc>
      </w:tr>
      <w:tr w14:paraId="3DCB5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jc w:val="center"/>
        </w:trPr>
        <w:tc>
          <w:tcPr>
            <w:tcW w:w="1759" w:type="dxa"/>
            <w:vMerge w:val="continue"/>
            <w:vAlign w:val="center"/>
          </w:tcPr>
          <w:p w14:paraId="3CD4BEA6">
            <w:pPr>
              <w:pageBreakBefore w:val="0"/>
              <w:widowControl/>
              <w:kinsoku/>
              <w:wordWrap/>
              <w:overflowPunct/>
              <w:topLinePunct w:val="0"/>
              <w:bidi w:val="0"/>
              <w:snapToGrid/>
              <w:spacing w:line="400" w:lineRule="exact"/>
              <w:textAlignment w:val="auto"/>
              <w:rPr>
                <w:rFonts w:ascii="宋体" w:hAnsi="宋体" w:eastAsia="宋体" w:cs="宋体"/>
                <w:sz w:val="24"/>
              </w:rPr>
            </w:pPr>
          </w:p>
        </w:tc>
        <w:tc>
          <w:tcPr>
            <w:tcW w:w="2410" w:type="dxa"/>
            <w:vAlign w:val="center"/>
          </w:tcPr>
          <w:p w14:paraId="3875D41F">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等级保护测评</w:t>
            </w:r>
          </w:p>
        </w:tc>
        <w:tc>
          <w:tcPr>
            <w:tcW w:w="5004" w:type="dxa"/>
            <w:vAlign w:val="center"/>
          </w:tcPr>
          <w:p w14:paraId="3C0E5C6D">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 xml:space="preserve">参照《GBT22239-2019 网络安全等级保护基本要求》和《GB/T28448-2019 网络安全等级保护测评要求》等标准规范要求，对信息系统开展信息系统等级保护测评工作。 </w:t>
            </w:r>
          </w:p>
        </w:tc>
      </w:tr>
      <w:tr w14:paraId="45DD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1759" w:type="dxa"/>
            <w:vMerge w:val="continue"/>
            <w:vAlign w:val="center"/>
          </w:tcPr>
          <w:p w14:paraId="0F6A19EC">
            <w:pPr>
              <w:pageBreakBefore w:val="0"/>
              <w:widowControl/>
              <w:kinsoku/>
              <w:wordWrap/>
              <w:overflowPunct/>
              <w:topLinePunct w:val="0"/>
              <w:bidi w:val="0"/>
              <w:snapToGrid/>
              <w:spacing w:line="400" w:lineRule="exact"/>
              <w:textAlignment w:val="auto"/>
              <w:rPr>
                <w:rFonts w:ascii="宋体" w:hAnsi="宋体" w:eastAsia="宋体" w:cs="宋体"/>
                <w:sz w:val="24"/>
              </w:rPr>
            </w:pPr>
          </w:p>
        </w:tc>
        <w:tc>
          <w:tcPr>
            <w:tcW w:w="2410" w:type="dxa"/>
            <w:vAlign w:val="center"/>
          </w:tcPr>
          <w:p w14:paraId="4A20662C">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成果</w:t>
            </w:r>
          </w:p>
        </w:tc>
        <w:tc>
          <w:tcPr>
            <w:tcW w:w="5004" w:type="dxa"/>
            <w:vAlign w:val="center"/>
          </w:tcPr>
          <w:p w14:paraId="12009775">
            <w:pPr>
              <w:pageBreakBefore w:val="0"/>
              <w:widowControl/>
              <w:kinsoku/>
              <w:wordWrap/>
              <w:overflowPunct/>
              <w:topLinePunct w:val="0"/>
              <w:bidi w:val="0"/>
              <w:snapToGrid/>
              <w:spacing w:line="400" w:lineRule="exact"/>
              <w:textAlignment w:val="auto"/>
              <w:rPr>
                <w:rFonts w:hint="eastAsia" w:ascii="宋体" w:hAnsi="宋体" w:eastAsia="宋体" w:cs="宋体"/>
                <w:sz w:val="24"/>
              </w:rPr>
            </w:pPr>
            <w:r>
              <w:rPr>
                <w:rFonts w:hint="eastAsia" w:ascii="宋体" w:hAnsi="宋体" w:eastAsia="宋体" w:cs="宋体"/>
                <w:sz w:val="24"/>
              </w:rPr>
              <w:t xml:space="preserve">服务目标为通过公安部门的等级保护检查，输出《信息系统等级保护测评报告》 </w:t>
            </w:r>
          </w:p>
          <w:p w14:paraId="560B20A2">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协助用户取得公安机关备案证明</w:t>
            </w:r>
            <w:r>
              <w:rPr>
                <w:rFonts w:hint="default" w:ascii="宋体" w:hAnsi="宋体" w:eastAsia="宋体" w:cs="宋体"/>
                <w:sz w:val="24"/>
              </w:rPr>
              <w:t>（</w:t>
            </w:r>
            <w:r>
              <w:rPr>
                <w:rFonts w:hint="eastAsia" w:ascii="宋体" w:hAnsi="宋体" w:eastAsia="宋体" w:cs="宋体"/>
                <w:sz w:val="24"/>
                <w:lang w:val="en-US" w:eastAsia="zh-Hans"/>
              </w:rPr>
              <w:t>已经获取备案证明的信息系统</w:t>
            </w:r>
            <w:r>
              <w:rPr>
                <w:rFonts w:hint="default" w:ascii="宋体" w:hAnsi="宋体" w:eastAsia="宋体" w:cs="宋体"/>
                <w:sz w:val="24"/>
                <w:lang w:eastAsia="zh-Hans"/>
              </w:rPr>
              <w:t>，</w:t>
            </w:r>
            <w:r>
              <w:rPr>
                <w:rFonts w:hint="eastAsia" w:ascii="宋体" w:hAnsi="宋体" w:eastAsia="宋体" w:cs="宋体"/>
                <w:sz w:val="24"/>
                <w:lang w:val="en-US" w:eastAsia="zh-Hans"/>
              </w:rPr>
              <w:t>公安机关不再出具备案证明</w:t>
            </w:r>
            <w:r>
              <w:rPr>
                <w:rFonts w:hint="default" w:ascii="宋体" w:hAnsi="宋体" w:eastAsia="宋体" w:cs="宋体"/>
                <w:sz w:val="24"/>
              </w:rPr>
              <w:t>）</w:t>
            </w:r>
            <w:r>
              <w:rPr>
                <w:rFonts w:hint="eastAsia" w:ascii="宋体" w:hAnsi="宋体" w:eastAsia="宋体" w:cs="宋体"/>
                <w:sz w:val="24"/>
              </w:rPr>
              <w:t>。</w:t>
            </w:r>
          </w:p>
        </w:tc>
      </w:tr>
    </w:tbl>
    <w:p w14:paraId="0E9AE33C">
      <w:pPr>
        <w:keepNext/>
        <w:keepLines/>
        <w:pageBreakBefore w:val="0"/>
        <w:widowControl w:val="0"/>
        <w:tabs>
          <w:tab w:val="left" w:pos="1368"/>
        </w:tabs>
        <w:kinsoku/>
        <w:wordWrap/>
        <w:overflowPunct/>
        <w:topLinePunct w:val="0"/>
        <w:autoSpaceDE/>
        <w:autoSpaceDN/>
        <w:bidi w:val="0"/>
        <w:adjustRightInd/>
        <w:snapToGrid/>
        <w:spacing w:before="0" w:after="0" w:line="400" w:lineRule="exact"/>
        <w:ind w:left="1372" w:hanging="1009"/>
        <w:jc w:val="both"/>
        <w:textAlignment w:val="auto"/>
        <w:outlineLvl w:val="4"/>
        <w:rPr>
          <w:rFonts w:ascii="Times New Roman" w:hAnsi="Times New Roman" w:eastAsia="宋体" w:cs="Times New Roman"/>
          <w:b/>
          <w:kern w:val="2"/>
          <w:sz w:val="28"/>
          <w:szCs w:val="20"/>
          <w:lang w:val="en-US" w:eastAsia="zh-CN" w:bidi="ar-SA"/>
        </w:rPr>
      </w:pPr>
      <w:r>
        <w:rPr>
          <w:rFonts w:ascii="Times New Roman" w:hAnsi="Times New Roman" w:eastAsia="宋体" w:cs="Times New Roman"/>
          <w:b/>
          <w:kern w:val="2"/>
          <w:sz w:val="28"/>
          <w:szCs w:val="20"/>
          <w:lang w:val="en-US" w:eastAsia="zh-CN" w:bidi="ar-SA"/>
        </w:rPr>
        <w:t>2</w:t>
      </w:r>
      <w:r>
        <w:rPr>
          <w:rFonts w:hint="eastAsia" w:ascii="Times New Roman" w:hAnsi="Times New Roman" w:eastAsia="宋体" w:cs="Times New Roman"/>
          <w:b/>
          <w:kern w:val="2"/>
          <w:sz w:val="28"/>
          <w:szCs w:val="20"/>
          <w:lang w:val="en-US" w:eastAsia="zh-Hans" w:bidi="ar-SA"/>
        </w:rPr>
        <w:t>.</w:t>
      </w:r>
      <w:r>
        <w:rPr>
          <w:rFonts w:ascii="Times New Roman" w:hAnsi="Times New Roman" w:eastAsia="宋体" w:cs="Times New Roman"/>
          <w:b/>
          <w:kern w:val="2"/>
          <w:sz w:val="28"/>
          <w:szCs w:val="20"/>
          <w:lang w:val="en-US" w:eastAsia="zh-Hans" w:bidi="ar-SA"/>
        </w:rPr>
        <w:t>2</w:t>
      </w:r>
      <w:r>
        <w:rPr>
          <w:rFonts w:hint="eastAsia" w:ascii="Times New Roman" w:hAnsi="Times New Roman" w:eastAsia="宋体" w:cs="Times New Roman"/>
          <w:b/>
          <w:kern w:val="2"/>
          <w:sz w:val="28"/>
          <w:szCs w:val="20"/>
          <w:lang w:val="en-US" w:eastAsia="zh-Hans" w:bidi="ar-SA"/>
        </w:rPr>
        <w:t>.</w:t>
      </w:r>
      <w:r>
        <w:rPr>
          <w:rFonts w:ascii="Times New Roman" w:hAnsi="Times New Roman" w:eastAsia="宋体" w:cs="Times New Roman"/>
          <w:b/>
          <w:kern w:val="2"/>
          <w:sz w:val="28"/>
          <w:szCs w:val="20"/>
          <w:lang w:val="en-US" w:eastAsia="zh-Hans" w:bidi="ar-SA"/>
        </w:rPr>
        <w:t>1</w:t>
      </w:r>
      <w:r>
        <w:rPr>
          <w:rFonts w:hint="eastAsia" w:ascii="Times New Roman" w:hAnsi="Times New Roman" w:eastAsia="宋体" w:cs="Times New Roman"/>
          <w:b/>
          <w:kern w:val="2"/>
          <w:sz w:val="28"/>
          <w:szCs w:val="20"/>
          <w:lang w:val="en-US" w:eastAsia="zh-CN" w:bidi="ar-SA"/>
        </w:rPr>
        <w:t>、测评要求</w:t>
      </w:r>
    </w:p>
    <w:p w14:paraId="7D50D52D">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ascii="宋体" w:hAnsi="宋体" w:eastAsia="宋体" w:cs="宋体"/>
          <w:sz w:val="24"/>
        </w:rPr>
        <w:t>（1）</w:t>
      </w:r>
      <w:r>
        <w:rPr>
          <w:rFonts w:hint="eastAsia" w:ascii="宋体" w:hAnsi="宋体" w:eastAsia="宋体" w:cs="宋体"/>
          <w:sz w:val="24"/>
        </w:rPr>
        <w:t>安全物理环境</w:t>
      </w:r>
    </w:p>
    <w:p w14:paraId="57512523">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物理安全测评是对信息系统的机房和办公场所的物理位置选择、物理访问控制、防盗窃和防破坏、防雷击、防火、防水和防潮、防静电、温湿度控制、电力供应、电磁防护等方面的安全状况。</w:t>
      </w:r>
    </w:p>
    <w:p w14:paraId="6E05D3B2">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（2）安全通信网络</w:t>
      </w:r>
    </w:p>
    <w:p w14:paraId="5E7E07B4">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网络安全测评是对信息系统的网络系统安全防护情况进行测评，包括网络结构安全、网络访问控制、网络安全审计、网络边界完整性测评、网络入侵防范、网络恶意代码防范、网络设备防护等方面的安全状况。</w:t>
      </w:r>
    </w:p>
    <w:p w14:paraId="37BE7AF8">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w:t>
      </w:r>
      <w:r>
        <w:rPr>
          <w:rFonts w:ascii="宋体" w:hAnsi="宋体" w:eastAsia="宋体" w:cs="宋体"/>
          <w:sz w:val="24"/>
        </w:rPr>
        <w:t>3</w:t>
      </w:r>
      <w:r>
        <w:rPr>
          <w:rFonts w:hint="eastAsia" w:ascii="宋体" w:hAnsi="宋体" w:eastAsia="宋体" w:cs="宋体"/>
          <w:sz w:val="24"/>
        </w:rPr>
        <w:t>）安全区域边界</w:t>
      </w:r>
    </w:p>
    <w:p w14:paraId="1F1ABEBB">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安全区域边界是对信息系统的边界防护、访问控制、入侵防范、恶意代码和垃圾邮件防范、安全审计、可信验证等方面的安全状况。</w:t>
      </w:r>
    </w:p>
    <w:p w14:paraId="0387DC47">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（4）安全计算环境</w:t>
      </w:r>
    </w:p>
    <w:p w14:paraId="290118B2">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安全计算环境是对信息系统的身份鉴别、访问控制、安全审计、入侵防范、恶意代码防范、可信验证、数据完整性、数据保密性、数据备份恢复、剩余信息保护、个人信息保护等方面的安全状况。</w:t>
      </w:r>
    </w:p>
    <w:p w14:paraId="5E27AD1F">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（5）安全管理中心</w:t>
      </w:r>
    </w:p>
    <w:p w14:paraId="147D9AC6">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安全管理中心是对信息系统的系统管理、审计管理、安全管理、集中管控进行测评。</w:t>
      </w:r>
    </w:p>
    <w:p w14:paraId="612207B1">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（6）安全管理制度</w:t>
      </w:r>
    </w:p>
    <w:p w14:paraId="196E9984">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安全管理制度测评是对信息系统的安全策略、管理制度、制定和发布、评审和修订等情况进行测评。</w:t>
      </w:r>
    </w:p>
    <w:p w14:paraId="70EE0F2E">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（7）安全管理机构</w:t>
      </w:r>
    </w:p>
    <w:p w14:paraId="3907D203">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安全管理机构测评是对信息系统的岗位设置、人员配备、授权与审批、沟通和合作、审核和检查等情况进行测评。</w:t>
      </w:r>
    </w:p>
    <w:p w14:paraId="112C2EE8">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（8）安全管理人员</w:t>
      </w:r>
    </w:p>
    <w:p w14:paraId="19B9FF0A">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人员安全管理测评是对信息系统相关内部人员的人员录用、人员离岗安全意识教育和培训、外部人员访问管理等情况进行测评。</w:t>
      </w:r>
    </w:p>
    <w:p w14:paraId="478304A3">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（9）安全建设管理</w:t>
      </w:r>
    </w:p>
    <w:p w14:paraId="541CDCFF">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系统建设管理测评是对信息系统建设过程中的、测试验收、系统交付、等级测评服务供应商管理等情况进行测评。</w:t>
      </w:r>
    </w:p>
    <w:p w14:paraId="3C563EBD">
      <w:pPr>
        <w:pageBreakBefore w:val="0"/>
        <w:widowControl/>
        <w:kinsoku/>
        <w:wordWrap/>
        <w:overflowPunct/>
        <w:topLinePunct w:val="0"/>
        <w:bidi w:val="0"/>
        <w:snapToGrid/>
        <w:spacing w:line="400" w:lineRule="exact"/>
        <w:textAlignment w:val="auto"/>
        <w:rPr>
          <w:rFonts w:ascii="宋体" w:hAnsi="宋体" w:eastAsia="宋体" w:cs="宋体"/>
          <w:sz w:val="24"/>
        </w:rPr>
      </w:pPr>
      <w:r>
        <w:rPr>
          <w:rFonts w:hint="eastAsia" w:ascii="宋体" w:hAnsi="宋体" w:eastAsia="宋体" w:cs="宋体"/>
          <w:sz w:val="24"/>
        </w:rPr>
        <w:t>（10）安全运维管理</w:t>
      </w:r>
    </w:p>
    <w:p w14:paraId="75B39D28">
      <w:pPr>
        <w:pageBreakBefore w:val="0"/>
        <w:widowControl/>
        <w:kinsoku/>
        <w:wordWrap/>
        <w:overflowPunct/>
        <w:topLinePunct w:val="0"/>
        <w:bidi w:val="0"/>
        <w:snapToGrid/>
        <w:spacing w:line="400" w:lineRule="exact"/>
        <w:ind w:firstLine="420"/>
        <w:textAlignment w:val="auto"/>
        <w:rPr>
          <w:rFonts w:ascii="宋体" w:hAnsi="宋体" w:eastAsia="宋体" w:cs="宋体"/>
          <w:sz w:val="24"/>
        </w:rPr>
      </w:pPr>
      <w:r>
        <w:rPr>
          <w:rFonts w:hint="eastAsia" w:ascii="宋体" w:hAnsi="宋体" w:eastAsia="宋体" w:cs="宋体"/>
          <w:sz w:val="24"/>
        </w:rPr>
        <w:t>系统运维管理测评是对信息系统运行维护过程中的环境管理、资产管理、介质管理、设备维护管理、漏洞和风险管理、网络和系统安全管理、恶意代码防范管理、配置管理、密码管理、变更管理、备份与恢复管理、安全事件处置、应急预案管理、外包运维管理等情况进行测评。</w:t>
      </w:r>
    </w:p>
    <w:p w14:paraId="2650BFAB">
      <w:pPr>
        <w:keepNext/>
        <w:keepLines/>
        <w:pageBreakBefore w:val="0"/>
        <w:widowControl w:val="0"/>
        <w:kinsoku/>
        <w:wordWrap/>
        <w:overflowPunct/>
        <w:topLinePunct w:val="0"/>
        <w:bidi w:val="0"/>
        <w:snapToGrid/>
        <w:spacing w:before="0" w:after="0" w:line="400" w:lineRule="exact"/>
        <w:jc w:val="both"/>
        <w:textAlignment w:val="auto"/>
        <w:outlineLvl w:val="2"/>
        <w:rPr>
          <w:rFonts w:ascii="宋体" w:hAnsi="宋体" w:eastAsia="宋体" w:cs="宋体"/>
          <w:b/>
          <w:bCs w:val="0"/>
          <w:kern w:val="2"/>
          <w:sz w:val="30"/>
          <w:szCs w:val="30"/>
          <w:lang w:val="en-US" w:eastAsia="zh-CN" w:bidi="ar-SA"/>
        </w:rPr>
      </w:pPr>
      <w:r>
        <w:rPr>
          <w:rFonts w:ascii="宋体" w:hAnsi="宋体" w:eastAsia="宋体" w:cs="宋体"/>
          <w:b w:val="0"/>
          <w:bCs w:val="0"/>
          <w:kern w:val="2"/>
          <w:sz w:val="32"/>
          <w:szCs w:val="32"/>
          <w:lang w:val="en-US" w:eastAsia="zh-CN" w:bidi="ar-SA"/>
        </w:rPr>
        <w:t>3</w:t>
      </w:r>
      <w:r>
        <w:rPr>
          <w:rFonts w:hint="eastAsia" w:ascii="宋体" w:hAnsi="宋体" w:eastAsia="宋体" w:cs="宋体"/>
          <w:b w:val="0"/>
          <w:bCs w:val="0"/>
          <w:kern w:val="2"/>
          <w:sz w:val="32"/>
          <w:szCs w:val="32"/>
          <w:lang w:val="en-US" w:eastAsia="zh-CN" w:bidi="ar-SA"/>
        </w:rPr>
        <w:t>、测评风险规避要求</w:t>
      </w:r>
    </w:p>
    <w:p w14:paraId="0DBF8725">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项目开展工作涉及到单位重要信息系统和数据，在测评过程中必须加强安全保密管理与风险控制。</w:t>
      </w:r>
    </w:p>
    <w:p w14:paraId="18692D7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指定项目经理为专人负责信息安全测评过程中的安全保密管理工作，对测评活动、测评人员以及相关文档和数据进行安全保密管理，对重点设备的技术检测进行监督，对接入的检测设备进行控制。项目经需理具备中级及以上测评资质</w:t>
      </w:r>
      <w:r>
        <w:rPr>
          <w:rFonts w:hint="eastAsia" w:ascii="宋体" w:hAnsi="宋体" w:eastAsia="宋体" w:cs="宋体"/>
          <w:sz w:val="24"/>
          <w:lang w:val="en-US" w:eastAsia="zh-CN"/>
        </w:rPr>
        <w:t>注册网络安全渗透评估专业人员</w:t>
      </w:r>
      <w:r>
        <w:rPr>
          <w:rFonts w:hint="eastAsia" w:ascii="宋体" w:hAnsi="宋体" w:eastAsia="宋体" w:cs="宋体"/>
          <w:sz w:val="24"/>
        </w:rPr>
        <w:t>，具备丰富的等级保护测评经验。</w:t>
      </w:r>
    </w:p>
    <w:p w14:paraId="1BCFCEBB">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安全测评工作中可能出现的安全风险点，按照检测对象周密制定测评方法，根据被测评对象的不同采取相应的风险控制手段，不限于以下方法：</w:t>
      </w:r>
    </w:p>
    <w:p w14:paraId="474A1437">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（1）操作的申请和监护</w:t>
      </w:r>
    </w:p>
    <w:p w14:paraId="2DAD9EF8">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在实施过程中必须遵守的相关操作章程，以防止敏感信息泄漏和确保及时处理意外事件。</w:t>
      </w:r>
    </w:p>
    <w:p w14:paraId="35BAB0C4">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（2）操作时间控制</w:t>
      </w:r>
    </w:p>
    <w:p w14:paraId="08570E91">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对测评直接影响系统工作时，尽可能避开敏感时期。</w:t>
      </w:r>
    </w:p>
    <w:p w14:paraId="09F67691">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（3）人员与数据管理</w:t>
      </w:r>
    </w:p>
    <w:p w14:paraId="7F202905">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必须高度重视信息保密工作，加强资料管理，确保人员可靠、稳定和可控。测评与被测评单位之间应签署长期保密协议，测评人员与被测评单位之间也要有相应的约束和控制措施，按国家有关要求做好保密工作。</w:t>
      </w:r>
    </w:p>
    <w:p w14:paraId="1685E38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（4）制定应急预案</w:t>
      </w:r>
    </w:p>
    <w:p w14:paraId="24568C42">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根据测评范围界定的系统情况，在实施前制定应急预案。</w:t>
      </w:r>
    </w:p>
    <w:p w14:paraId="051D7826">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（5）关键业务系统风险控制</w:t>
      </w:r>
    </w:p>
    <w:p w14:paraId="42FCF85B">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对影响较大的重要关键业务系统在无法搭建模拟环境情况下，原则上不采用测评工具，采用访谈、测评和简单测试的方式进行。</w:t>
      </w:r>
    </w:p>
    <w:p w14:paraId="78D6A6F0">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（6）优化扫描策略</w:t>
      </w:r>
    </w:p>
    <w:p w14:paraId="515C1D96">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分类扫描:对不同的主机和设备类型执行不同的扫描会话，从而减少不必要的脆弱项目测试。针对扫描对象细化扫描策略：对不同类型的主机或设备，需要根据其上不同的应用和服务情况，有针对性地定制扫描策略选项。</w:t>
      </w:r>
    </w:p>
    <w:p w14:paraId="59CB2259">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（7）数据备份与恢复</w:t>
      </w:r>
    </w:p>
    <w:p w14:paraId="6B301F6E">
      <w:pPr>
        <w:pageBreakBefore w:val="0"/>
        <w:widowControl w:val="0"/>
        <w:kinsoku/>
        <w:wordWrap/>
        <w:overflowPunct/>
        <w:topLinePunct w:val="0"/>
        <w:autoSpaceDE w:val="0"/>
        <w:autoSpaceDN w:val="0"/>
        <w:bidi w:val="0"/>
        <w:adjustRightInd w:val="0"/>
        <w:snapToGrid/>
        <w:spacing w:line="400" w:lineRule="exact"/>
        <w:ind w:firstLine="480" w:firstLineChars="200"/>
        <w:jc w:val="left"/>
        <w:textAlignment w:val="auto"/>
        <w:rPr>
          <w:rFonts w:ascii="宋体" w:hAnsi="宋体" w:eastAsia="宋体" w:cs="宋体"/>
          <w:sz w:val="24"/>
        </w:rPr>
      </w:pPr>
      <w:r>
        <w:rPr>
          <w:rFonts w:hint="eastAsia" w:ascii="宋体" w:hAnsi="宋体" w:eastAsia="宋体" w:cs="宋体"/>
          <w:sz w:val="24"/>
        </w:rPr>
        <w:t>对业务系统和数据库主机，应对其上数据进行备份，防止测评过程中对设备与主机的损伤影响业务系统的正常运行。</w:t>
      </w:r>
    </w:p>
    <w:p w14:paraId="537980FF">
      <w:pPr>
        <w:keepNext/>
        <w:keepLines/>
        <w:pageBreakBefore w:val="0"/>
        <w:widowControl w:val="0"/>
        <w:kinsoku/>
        <w:wordWrap/>
        <w:overflowPunct/>
        <w:topLinePunct w:val="0"/>
        <w:bidi w:val="0"/>
        <w:snapToGrid/>
        <w:spacing w:before="0" w:after="0" w:line="400" w:lineRule="exact"/>
        <w:jc w:val="both"/>
        <w:textAlignment w:val="auto"/>
        <w:outlineLvl w:val="0"/>
        <w:rPr>
          <w:rFonts w:ascii="宋体" w:hAnsi="宋体" w:eastAsia="宋体" w:cs="宋体"/>
          <w:b/>
          <w:bCs/>
          <w:kern w:val="44"/>
          <w:sz w:val="32"/>
          <w:szCs w:val="44"/>
          <w:lang w:val="en-US" w:eastAsia="zh-CN" w:bidi="ar-SA"/>
        </w:rPr>
      </w:pPr>
      <w:r>
        <w:rPr>
          <w:rFonts w:hint="eastAsia" w:ascii="宋体" w:hAnsi="宋体" w:eastAsia="宋体" w:cs="宋体"/>
          <w:b/>
          <w:bCs/>
          <w:kern w:val="44"/>
          <w:sz w:val="32"/>
          <w:szCs w:val="44"/>
          <w:lang w:val="en-US" w:eastAsia="zh-CN" w:bidi="ar-SA"/>
        </w:rPr>
        <w:t>四、其它要求</w:t>
      </w:r>
    </w:p>
    <w:p w14:paraId="234880A9">
      <w:pPr>
        <w:pageBreakBefore w:val="0"/>
        <w:widowControl w:val="0"/>
        <w:kinsoku/>
        <w:wordWrap/>
        <w:overflowPunct/>
        <w:topLinePunct w:val="0"/>
        <w:bidi w:val="0"/>
        <w:snapToGrid/>
        <w:spacing w:line="400" w:lineRule="exact"/>
        <w:ind w:firstLine="480" w:firstLineChars="200"/>
        <w:textAlignment w:val="auto"/>
        <w:rPr>
          <w:rFonts w:hint="eastAsia" w:ascii="宋体" w:hAnsi="宋体" w:eastAsia="宋体" w:cs="宋体"/>
          <w:sz w:val="24"/>
        </w:rPr>
      </w:pPr>
      <w:r>
        <w:rPr>
          <w:rFonts w:hint="eastAsia" w:ascii="宋体" w:hAnsi="宋体" w:eastAsia="宋体" w:cs="宋体"/>
          <w:sz w:val="24"/>
        </w:rPr>
        <w:t>1、如成交供应商发生兼并、重组，由新组建的公司按投标文件承担相应售后服务；供应商使用的技术装备、设施应当符合《信息安全等级保护管理办法》中对信息安全产品的要求；</w:t>
      </w:r>
    </w:p>
    <w:p w14:paraId="18C36EA4">
      <w:pPr>
        <w:pageBreakBefore w:val="0"/>
        <w:widowControl w:val="0"/>
        <w:kinsoku/>
        <w:wordWrap/>
        <w:overflowPunct/>
        <w:topLinePunct w:val="0"/>
        <w:bidi w:val="0"/>
        <w:snapToGrid/>
        <w:spacing w:line="400" w:lineRule="exact"/>
        <w:ind w:firstLine="480" w:firstLineChars="200"/>
        <w:textAlignment w:val="auto"/>
        <w:rPr>
          <w:rFonts w:hint="eastAsia" w:ascii="宋体" w:hAnsi="宋体" w:eastAsia="宋体" w:cs="宋体"/>
          <w:sz w:val="24"/>
        </w:rPr>
      </w:pPr>
      <w:r>
        <w:rPr>
          <w:rFonts w:hint="default" w:ascii="宋体" w:hAnsi="宋体" w:eastAsia="宋体" w:cs="宋体"/>
          <w:sz w:val="24"/>
        </w:rPr>
        <w:t>2</w:t>
      </w:r>
      <w:r>
        <w:rPr>
          <w:rFonts w:hint="eastAsia" w:ascii="宋体" w:hAnsi="宋体" w:eastAsia="宋体" w:cs="宋体"/>
          <w:sz w:val="24"/>
        </w:rPr>
        <w:t>、供应商的技术方案中应有完备的保密管理、项目管理、质量管理、人员管理和培训教育等安全管理制度；</w:t>
      </w:r>
    </w:p>
    <w:p w14:paraId="11B0F77C">
      <w:pPr>
        <w:pageBreakBefore w:val="0"/>
        <w:widowControl w:val="0"/>
        <w:kinsoku/>
        <w:wordWrap/>
        <w:overflowPunct/>
        <w:topLinePunct w:val="0"/>
        <w:bidi w:val="0"/>
        <w:snapToGrid/>
        <w:spacing w:line="400" w:lineRule="exact"/>
        <w:ind w:firstLine="480" w:firstLineChars="200"/>
        <w:textAlignment w:val="auto"/>
        <w:rPr>
          <w:rFonts w:hint="default" w:ascii="宋体" w:hAnsi="宋体" w:eastAsia="宋体" w:cs="宋体"/>
          <w:sz w:val="24"/>
        </w:rPr>
      </w:pPr>
      <w:r>
        <w:rPr>
          <w:rFonts w:hint="default" w:ascii="宋体" w:hAnsi="宋体" w:eastAsia="宋体" w:cs="宋体"/>
          <w:sz w:val="24"/>
        </w:rPr>
        <w:t>3</w:t>
      </w:r>
      <w:r>
        <w:rPr>
          <w:rFonts w:hint="eastAsia" w:ascii="宋体" w:hAnsi="宋体" w:eastAsia="宋体" w:cs="宋体"/>
          <w:sz w:val="24"/>
        </w:rPr>
        <w:t>、</w:t>
      </w:r>
      <w:r>
        <w:rPr>
          <w:rFonts w:hint="eastAsia" w:ascii="宋体" w:hAnsi="宋体" w:eastAsia="宋体" w:cs="宋体"/>
          <w:sz w:val="24"/>
          <w:lang w:val="en-US" w:eastAsia="zh-Hans"/>
        </w:rPr>
        <w:t>供应商提供项目所在省常驻团队社保证明</w:t>
      </w:r>
      <w:r>
        <w:rPr>
          <w:rFonts w:hint="default" w:ascii="宋体" w:hAnsi="宋体" w:eastAsia="宋体" w:cs="宋体"/>
          <w:sz w:val="24"/>
          <w:lang w:eastAsia="zh-Hans"/>
        </w:rPr>
        <w:t>，</w:t>
      </w:r>
      <w:r>
        <w:rPr>
          <w:rFonts w:hint="eastAsia" w:ascii="宋体" w:hAnsi="宋体" w:eastAsia="宋体" w:cs="宋体"/>
          <w:sz w:val="24"/>
          <w:lang w:val="en-US" w:eastAsia="zh-Hans"/>
        </w:rPr>
        <w:t>团队成员不少于</w:t>
      </w:r>
      <w:r>
        <w:rPr>
          <w:rFonts w:hint="default" w:ascii="宋体" w:hAnsi="宋体" w:eastAsia="宋体" w:cs="宋体"/>
          <w:sz w:val="24"/>
          <w:lang w:eastAsia="zh-Hans"/>
        </w:rPr>
        <w:t>10</w:t>
      </w:r>
      <w:r>
        <w:rPr>
          <w:rFonts w:hint="eastAsia" w:ascii="宋体" w:hAnsi="宋体" w:eastAsia="宋体" w:cs="宋体"/>
          <w:sz w:val="24"/>
          <w:lang w:val="en-US" w:eastAsia="zh-Hans"/>
        </w:rPr>
        <w:t>人</w:t>
      </w:r>
      <w:r>
        <w:rPr>
          <w:rFonts w:hint="default" w:ascii="宋体" w:hAnsi="宋体" w:eastAsia="宋体" w:cs="宋体"/>
          <w:sz w:val="24"/>
          <w:lang w:eastAsia="zh-Hans"/>
        </w:rPr>
        <w:t>（</w:t>
      </w:r>
      <w:r>
        <w:rPr>
          <w:rFonts w:hint="eastAsia" w:ascii="宋体" w:hAnsi="宋体" w:eastAsia="宋体" w:cs="宋体"/>
          <w:sz w:val="24"/>
          <w:lang w:val="en-US" w:eastAsia="zh-Hans"/>
        </w:rPr>
        <w:t>提供近半年项目所在省的社保证明并加盖公章</w:t>
      </w:r>
      <w:r>
        <w:rPr>
          <w:rFonts w:hint="default" w:ascii="宋体" w:hAnsi="宋体" w:eastAsia="宋体" w:cs="宋体"/>
          <w:sz w:val="24"/>
          <w:lang w:eastAsia="zh-Hans"/>
        </w:rPr>
        <w:t>）</w:t>
      </w:r>
      <w:r>
        <w:rPr>
          <w:rFonts w:hint="default" w:ascii="宋体" w:hAnsi="宋体" w:eastAsia="宋体" w:cs="宋体"/>
          <w:sz w:val="24"/>
        </w:rPr>
        <w:t>。</w:t>
      </w:r>
    </w:p>
    <w:p w14:paraId="703F765D">
      <w:pPr>
        <w:pageBreakBefore w:val="0"/>
        <w:widowControl w:val="0"/>
        <w:kinsoku/>
        <w:wordWrap/>
        <w:overflowPunct/>
        <w:topLinePunct w:val="0"/>
        <w:bidi w:val="0"/>
        <w:snapToGrid/>
        <w:spacing w:line="400" w:lineRule="exact"/>
        <w:ind w:firstLine="480" w:firstLineChars="200"/>
        <w:textAlignment w:val="auto"/>
        <w:rPr>
          <w:rFonts w:hint="default" w:ascii="Calibri" w:hAnsi="Calibri" w:eastAsia="宋体" w:cs="Times New Roman"/>
          <w:sz w:val="24"/>
          <w:lang w:val="en-US" w:eastAsia="zh-CN"/>
        </w:rPr>
      </w:pPr>
      <w:r>
        <w:rPr>
          <w:rFonts w:hint="default" w:ascii="宋体" w:hAnsi="宋体" w:eastAsia="宋体" w:cs="宋体"/>
          <w:sz w:val="24"/>
        </w:rPr>
        <w:t>4</w:t>
      </w:r>
      <w:r>
        <w:rPr>
          <w:rFonts w:hint="eastAsia" w:ascii="宋体" w:hAnsi="宋体" w:eastAsia="宋体" w:cs="宋体"/>
          <w:sz w:val="24"/>
        </w:rPr>
        <w:t>、</w:t>
      </w:r>
      <w:r>
        <w:rPr>
          <w:rFonts w:hint="eastAsia" w:ascii="宋体" w:hAnsi="宋体" w:eastAsia="宋体" w:cs="宋体"/>
          <w:sz w:val="24"/>
          <w:lang w:val="en-US" w:eastAsia="zh-Hans"/>
        </w:rPr>
        <w:t>如为异地测评机构在参与本项目投标过程中</w:t>
      </w:r>
      <w:r>
        <w:rPr>
          <w:rFonts w:hint="default" w:ascii="宋体" w:hAnsi="宋体" w:eastAsia="宋体" w:cs="宋体"/>
          <w:sz w:val="24"/>
          <w:lang w:eastAsia="zh-Hans"/>
        </w:rPr>
        <w:t>，</w:t>
      </w:r>
      <w:r>
        <w:rPr>
          <w:rFonts w:hint="eastAsia" w:ascii="宋体" w:hAnsi="宋体" w:eastAsia="宋体" w:cs="宋体"/>
          <w:sz w:val="24"/>
          <w:lang w:val="en-US" w:eastAsia="zh-Hans"/>
        </w:rPr>
        <w:t>严格落实异地测评备案手续</w:t>
      </w:r>
      <w:r>
        <w:rPr>
          <w:rFonts w:hint="default" w:ascii="宋体" w:hAnsi="宋体" w:eastAsia="宋体" w:cs="宋体"/>
          <w:sz w:val="24"/>
          <w:lang w:eastAsia="zh-Hans"/>
        </w:rPr>
        <w:t>，</w:t>
      </w:r>
      <w:r>
        <w:rPr>
          <w:rFonts w:hint="eastAsia" w:ascii="宋体" w:hAnsi="宋体" w:eastAsia="宋体" w:cs="宋体"/>
          <w:sz w:val="24"/>
          <w:lang w:val="en-US" w:eastAsia="zh-Hans"/>
        </w:rPr>
        <w:t>投标文件必须提供省级网络安全等级保护领导小组办公室出具盖章版的</w:t>
      </w:r>
      <w:r>
        <w:rPr>
          <w:rFonts w:hint="default" w:ascii="宋体" w:hAnsi="宋体" w:eastAsia="宋体" w:cs="宋体"/>
          <w:sz w:val="24"/>
          <w:lang w:eastAsia="zh-Hans"/>
        </w:rPr>
        <w:t>《</w:t>
      </w:r>
      <w:r>
        <w:rPr>
          <w:rFonts w:hint="eastAsia" w:ascii="宋体" w:hAnsi="宋体" w:eastAsia="宋体" w:cs="宋体"/>
          <w:sz w:val="24"/>
          <w:lang w:val="en-US" w:eastAsia="zh-Hans"/>
        </w:rPr>
        <w:t>等级测评机构异地测评项目备案表</w:t>
      </w:r>
      <w:r>
        <w:rPr>
          <w:rFonts w:hint="default" w:ascii="宋体" w:hAnsi="宋体" w:eastAsia="宋体" w:cs="宋体"/>
          <w:sz w:val="24"/>
          <w:lang w:eastAsia="zh-Hans"/>
        </w:rPr>
        <w:t>》。</w:t>
      </w:r>
    </w:p>
    <w:p w14:paraId="5E64F291">
      <w:pPr>
        <w:rPr>
          <w:rFonts w:hint="eastAsia"/>
          <w:lang w:val="en-US" w:eastAsia="zh-CN"/>
        </w:rPr>
      </w:pPr>
      <w:bookmarkStart w:id="2" w:name="_GoBack"/>
      <w:bookmarkEnd w:id="2"/>
    </w:p>
    <w:sectPr>
      <w:footerReference r:id="rId3" w:type="default"/>
      <w:pgSz w:w="11906" w:h="16838"/>
      <w:pgMar w:top="1134"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6307D">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A92310">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CA92310">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D3D77A"/>
    <w:multiLevelType w:val="singleLevel"/>
    <w:tmpl w:val="B1D3D77A"/>
    <w:lvl w:ilvl="0" w:tentative="0">
      <w:start w:val="5"/>
      <w:numFmt w:val="decimal"/>
      <w:suff w:val="nothing"/>
      <w:lvlText w:val="（%1）"/>
      <w:lvlJc w:val="left"/>
    </w:lvl>
  </w:abstractNum>
  <w:abstractNum w:abstractNumId="1">
    <w:nsid w:val="1F32685A"/>
    <w:multiLevelType w:val="multilevel"/>
    <w:tmpl w:val="1F32685A"/>
    <w:lvl w:ilvl="0" w:tentative="0">
      <w:start w:val="1"/>
      <w:numFmt w:val="decimal"/>
      <w:pStyle w:val="28"/>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2">
    <w:nsid w:val="4E27A688"/>
    <w:multiLevelType w:val="multilevel"/>
    <w:tmpl w:val="4E27A688"/>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3">
    <w:nsid w:val="62B3482D"/>
    <w:multiLevelType w:val="singleLevel"/>
    <w:tmpl w:val="62B3482D"/>
    <w:lvl w:ilvl="0" w:tentative="0">
      <w:start w:val="1"/>
      <w:numFmt w:val="decimal"/>
      <w:suff w:val="nothing"/>
      <w:lvlText w:val="（%1）"/>
      <w:lvlJc w:val="left"/>
    </w:lvl>
  </w:abstractNum>
  <w:abstractNum w:abstractNumId="4">
    <w:nsid w:val="7E09A091"/>
    <w:multiLevelType w:val="singleLevel"/>
    <w:tmpl w:val="7E09A091"/>
    <w:lvl w:ilvl="0" w:tentative="0">
      <w:start w:val="2"/>
      <w:numFmt w:val="decimal"/>
      <w:suff w:val="nothing"/>
      <w:lvlText w:val="（%1）"/>
      <w:lvlJc w:val="left"/>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842452"/>
    <w:rsid w:val="00B25E0C"/>
    <w:rsid w:val="01B513E5"/>
    <w:rsid w:val="04D82D0C"/>
    <w:rsid w:val="09474D20"/>
    <w:rsid w:val="0B8F3DEA"/>
    <w:rsid w:val="0E63197E"/>
    <w:rsid w:val="0E670397"/>
    <w:rsid w:val="0F047A89"/>
    <w:rsid w:val="0F37357E"/>
    <w:rsid w:val="103A04BC"/>
    <w:rsid w:val="11407D54"/>
    <w:rsid w:val="116740A1"/>
    <w:rsid w:val="12312715"/>
    <w:rsid w:val="12DB66FD"/>
    <w:rsid w:val="130F5C30"/>
    <w:rsid w:val="152C0FBD"/>
    <w:rsid w:val="15DF08B8"/>
    <w:rsid w:val="162A53BE"/>
    <w:rsid w:val="18A1330D"/>
    <w:rsid w:val="18AF162F"/>
    <w:rsid w:val="19341070"/>
    <w:rsid w:val="1A3D6BB5"/>
    <w:rsid w:val="1BB74EEE"/>
    <w:rsid w:val="1C27081B"/>
    <w:rsid w:val="1C747071"/>
    <w:rsid w:val="1D532009"/>
    <w:rsid w:val="1E126711"/>
    <w:rsid w:val="1E965ADC"/>
    <w:rsid w:val="1F736570"/>
    <w:rsid w:val="1F97749C"/>
    <w:rsid w:val="1FBE772B"/>
    <w:rsid w:val="206C2341"/>
    <w:rsid w:val="21AC3DB3"/>
    <w:rsid w:val="221C5952"/>
    <w:rsid w:val="251D54C7"/>
    <w:rsid w:val="25473410"/>
    <w:rsid w:val="264A07EB"/>
    <w:rsid w:val="27B468BB"/>
    <w:rsid w:val="28911F2D"/>
    <w:rsid w:val="28FB6912"/>
    <w:rsid w:val="293715E5"/>
    <w:rsid w:val="293E4730"/>
    <w:rsid w:val="29435826"/>
    <w:rsid w:val="2BC80D77"/>
    <w:rsid w:val="2C5D1363"/>
    <w:rsid w:val="2CF717B7"/>
    <w:rsid w:val="2D9D5991"/>
    <w:rsid w:val="2E1161C9"/>
    <w:rsid w:val="2FF574D3"/>
    <w:rsid w:val="302723B3"/>
    <w:rsid w:val="33852335"/>
    <w:rsid w:val="33BF7284"/>
    <w:rsid w:val="34A664F8"/>
    <w:rsid w:val="34FD096D"/>
    <w:rsid w:val="3515301D"/>
    <w:rsid w:val="36ED530F"/>
    <w:rsid w:val="397A79F8"/>
    <w:rsid w:val="3AD35612"/>
    <w:rsid w:val="3C264863"/>
    <w:rsid w:val="3C6908E7"/>
    <w:rsid w:val="3CDF1E8E"/>
    <w:rsid w:val="3DCC1CEF"/>
    <w:rsid w:val="3DF74328"/>
    <w:rsid w:val="3E9D5936"/>
    <w:rsid w:val="3EBE6087"/>
    <w:rsid w:val="40CE4C5A"/>
    <w:rsid w:val="40F3505F"/>
    <w:rsid w:val="41AE2E46"/>
    <w:rsid w:val="42F308B1"/>
    <w:rsid w:val="43CA7ECB"/>
    <w:rsid w:val="45736390"/>
    <w:rsid w:val="457E74C5"/>
    <w:rsid w:val="469031CB"/>
    <w:rsid w:val="47173184"/>
    <w:rsid w:val="486E604D"/>
    <w:rsid w:val="491A0EBA"/>
    <w:rsid w:val="4A7B1CDE"/>
    <w:rsid w:val="4DB03590"/>
    <w:rsid w:val="5692056C"/>
    <w:rsid w:val="57311572"/>
    <w:rsid w:val="57760F4E"/>
    <w:rsid w:val="5ABD1400"/>
    <w:rsid w:val="5B4869ED"/>
    <w:rsid w:val="5C0E0E83"/>
    <w:rsid w:val="5C966047"/>
    <w:rsid w:val="5D786D1A"/>
    <w:rsid w:val="5F545483"/>
    <w:rsid w:val="614926D5"/>
    <w:rsid w:val="62E23157"/>
    <w:rsid w:val="634A17BF"/>
    <w:rsid w:val="637820DD"/>
    <w:rsid w:val="63C05E4E"/>
    <w:rsid w:val="64104F27"/>
    <w:rsid w:val="64842452"/>
    <w:rsid w:val="652135E5"/>
    <w:rsid w:val="666C6A4D"/>
    <w:rsid w:val="668110D4"/>
    <w:rsid w:val="67892A30"/>
    <w:rsid w:val="678C42CF"/>
    <w:rsid w:val="69EC6364"/>
    <w:rsid w:val="6B126E3A"/>
    <w:rsid w:val="6B880FF7"/>
    <w:rsid w:val="6C6B28EF"/>
    <w:rsid w:val="6DFF6DF1"/>
    <w:rsid w:val="6FAA5C3A"/>
    <w:rsid w:val="753B7125"/>
    <w:rsid w:val="768D2C66"/>
    <w:rsid w:val="772A798F"/>
    <w:rsid w:val="7A1F14AE"/>
    <w:rsid w:val="7A466372"/>
    <w:rsid w:val="7B6312FE"/>
    <w:rsid w:val="7C3C22F1"/>
    <w:rsid w:val="7C7B0A73"/>
    <w:rsid w:val="7DFB58B2"/>
    <w:rsid w:val="7FB27B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qFormat/>
    <w:uiPriority w:val="0"/>
    <w:pPr>
      <w:keepNext/>
      <w:keepLines/>
      <w:numPr>
        <w:ilvl w:val="0"/>
        <w:numId w:val="1"/>
      </w:numPr>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Body Text 3"/>
    <w:basedOn w:val="1"/>
    <w:qFormat/>
    <w:uiPriority w:val="0"/>
    <w:pPr>
      <w:spacing w:after="120" w:line="240" w:lineRule="auto"/>
    </w:pPr>
    <w:rPr>
      <w:rFonts w:eastAsiaTheme="minorEastAsia"/>
      <w:kern w:val="0"/>
      <w:sz w:val="16"/>
      <w:szCs w:val="16"/>
    </w:rPr>
  </w:style>
  <w:style w:type="paragraph" w:styleId="12">
    <w:name w:val="Body Text"/>
    <w:basedOn w:val="1"/>
    <w:unhideWhenUsed/>
    <w:qFormat/>
    <w:uiPriority w:val="99"/>
    <w:pPr>
      <w:spacing w:after="120"/>
    </w:pPr>
  </w:style>
  <w:style w:type="paragraph" w:styleId="13">
    <w:name w:val="Plain Text"/>
    <w:basedOn w:val="1"/>
    <w:qFormat/>
    <w:uiPriority w:val="0"/>
    <w:rPr>
      <w:rFonts w:ascii="宋体" w:hAnsi="Courier New"/>
    </w:rPr>
  </w:style>
  <w:style w:type="paragraph" w:styleId="14">
    <w:name w:val="footer"/>
    <w:basedOn w:val="1"/>
    <w:unhideWhenUsed/>
    <w:qFormat/>
    <w:uiPriority w:val="99"/>
    <w:pPr>
      <w:tabs>
        <w:tab w:val="center" w:pos="4153"/>
        <w:tab w:val="right" w:pos="8306"/>
      </w:tabs>
      <w:snapToGrid w:val="0"/>
      <w:jc w:val="left"/>
    </w:pPr>
    <w:rPr>
      <w:sz w:val="18"/>
      <w:szCs w:val="18"/>
    </w:rPr>
  </w:style>
  <w:style w:type="paragraph" w:styleId="15">
    <w:name w:val="header"/>
    <w:basedOn w:val="1"/>
    <w:unhideWhenUsed/>
    <w:qFormat/>
    <w:uiPriority w:val="99"/>
    <w:pPr>
      <w:tabs>
        <w:tab w:val="center" w:pos="4153"/>
        <w:tab w:val="right" w:pos="8306"/>
      </w:tabs>
      <w:snapToGrid w:val="0"/>
      <w:jc w:val="center"/>
    </w:pPr>
    <w:rPr>
      <w:sz w:val="18"/>
      <w:szCs w:val="18"/>
    </w:rPr>
  </w:style>
  <w:style w:type="paragraph" w:styleId="16">
    <w:name w:val="toc 1"/>
    <w:basedOn w:val="1"/>
    <w:next w:val="1"/>
    <w:unhideWhenUsed/>
    <w:qFormat/>
    <w:uiPriority w:val="1"/>
  </w:style>
  <w:style w:type="paragraph" w:styleId="17">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18">
    <w:name w:val="toc 6"/>
    <w:basedOn w:val="1"/>
    <w:next w:val="1"/>
    <w:unhideWhenUsed/>
    <w:qFormat/>
    <w:uiPriority w:val="39"/>
    <w:pPr>
      <w:spacing w:line="360" w:lineRule="auto"/>
      <w:ind w:left="1200"/>
      <w:jc w:val="left"/>
    </w:pPr>
    <w:rPr>
      <w:rFonts w:hAnsi="宋体" w:eastAsiaTheme="minorHAnsi"/>
      <w:sz w:val="18"/>
      <w:szCs w:val="18"/>
    </w:rPr>
  </w:style>
  <w:style w:type="paragraph" w:styleId="19">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0">
    <w:name w:val="Normal (Web)"/>
    <w:basedOn w:val="1"/>
    <w:qFormat/>
    <w:uiPriority w:val="0"/>
    <w:rPr>
      <w:sz w:val="24"/>
    </w:rPr>
  </w:style>
  <w:style w:type="paragraph" w:styleId="21">
    <w:name w:val="Body Text First Indent"/>
    <w:basedOn w:val="12"/>
    <w:next w:val="18"/>
    <w:qFormat/>
    <w:uiPriority w:val="0"/>
    <w:pPr>
      <w:ind w:firstLine="420" w:firstLineChars="100"/>
    </w:pPr>
  </w:style>
  <w:style w:type="table" w:styleId="23">
    <w:name w:val="Table Grid"/>
    <w:basedOn w:val="22"/>
    <w:qFormat/>
    <w:uiPriority w:val="3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5">
    <w:name w:val="Strong"/>
    <w:basedOn w:val="24"/>
    <w:qFormat/>
    <w:uiPriority w:val="0"/>
    <w:rPr>
      <w:b/>
      <w:bCs/>
    </w:rPr>
  </w:style>
  <w:style w:type="paragraph" w:customStyle="1" w:styleId="26">
    <w:name w:val="Default"/>
    <w:next w:val="1"/>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customStyle="1" w:styleId="27">
    <w:name w:val="No Spacing1"/>
    <w:basedOn w:val="1"/>
    <w:qFormat/>
    <w:uiPriority w:val="1"/>
    <w:pPr>
      <w:spacing w:line="400" w:lineRule="exact"/>
    </w:pPr>
    <w:rPr>
      <w:sz w:val="24"/>
    </w:rPr>
  </w:style>
  <w:style w:type="paragraph" w:customStyle="1" w:styleId="28">
    <w:name w:val="U_标题1"/>
    <w:basedOn w:val="2"/>
    <w:qFormat/>
    <w:uiPriority w:val="99"/>
    <w:pPr>
      <w:numPr>
        <w:ilvl w:val="0"/>
        <w:numId w:val="2"/>
      </w:numPr>
      <w:spacing w:before="30" w:beforeLines="30" w:after="30" w:afterLines="30" w:line="300" w:lineRule="auto"/>
    </w:pPr>
    <w:rPr>
      <w:rFonts w:eastAsia="黑体"/>
      <w:bCs w:val="0"/>
      <w:sz w:val="32"/>
      <w:szCs w:val="20"/>
    </w:rPr>
  </w:style>
  <w:style w:type="paragraph" w:customStyle="1" w:styleId="29">
    <w:name w:val="U_正文2"/>
    <w:basedOn w:val="1"/>
    <w:qFormat/>
    <w:uiPriority w:val="0"/>
    <w:pPr>
      <w:spacing w:before="10" w:beforeLines="10" w:after="10" w:afterLines="10" w:line="300" w:lineRule="auto"/>
    </w:pPr>
    <w:rPr>
      <w:sz w:val="24"/>
      <w:szCs w:val="20"/>
    </w:rPr>
  </w:style>
  <w:style w:type="paragraph" w:customStyle="1" w:styleId="30">
    <w:name w:val="U_正文"/>
    <w:basedOn w:val="1"/>
    <w:qFormat/>
    <w:uiPriority w:val="0"/>
    <w:pPr>
      <w:spacing w:before="20" w:beforeLines="20" w:after="20" w:afterLines="20" w:line="300" w:lineRule="auto"/>
      <w:ind w:firstLine="200" w:firstLineChars="200"/>
    </w:pPr>
    <w:rPr>
      <w:sz w:val="24"/>
      <w:szCs w:val="20"/>
    </w:rPr>
  </w:style>
  <w:style w:type="paragraph" w:customStyle="1" w:styleId="31">
    <w:name w:val="Table Paragraph"/>
    <w:basedOn w:val="1"/>
    <w:qFormat/>
    <w:uiPriority w:val="1"/>
    <w:rPr>
      <w:rFonts w:ascii="宋体" w:hAnsi="宋体" w:eastAsia="宋体" w:cs="宋体"/>
    </w:rPr>
  </w:style>
  <w:style w:type="character" w:customStyle="1" w:styleId="32">
    <w:name w:val="font31"/>
    <w:basedOn w:val="24"/>
    <w:qFormat/>
    <w:uiPriority w:val="0"/>
    <w:rPr>
      <w:rFonts w:hint="eastAsia" w:ascii="宋体" w:hAnsi="宋体" w:eastAsia="宋体" w:cs="宋体"/>
      <w:color w:val="000000"/>
      <w:sz w:val="28"/>
      <w:szCs w:val="28"/>
      <w:u w:val="none"/>
    </w:rPr>
  </w:style>
  <w:style w:type="paragraph" w:styleId="33">
    <w:name w:val="List Paragraph"/>
    <w:basedOn w:val="1"/>
    <w:qFormat/>
    <w:uiPriority w:val="34"/>
    <w:pPr>
      <w:ind w:firstLine="420" w:firstLineChars="200"/>
    </w:pPr>
  </w:style>
  <w:style w:type="paragraph" w:customStyle="1" w:styleId="34">
    <w:name w:val="Table Text"/>
    <w:basedOn w:val="1"/>
    <w:semiHidden/>
    <w:qFormat/>
    <w:uiPriority w:val="0"/>
    <w:rPr>
      <w:rFonts w:ascii="宋体" w:hAnsi="宋体" w:eastAsia="宋体" w:cs="宋体"/>
      <w:sz w:val="24"/>
      <w:szCs w:val="24"/>
    </w:rPr>
  </w:style>
  <w:style w:type="table" w:customStyle="1" w:styleId="35">
    <w:name w:val="Table Normal"/>
    <w:semiHidden/>
    <w:unhideWhenUsed/>
    <w:qFormat/>
    <w:uiPriority w:val="0"/>
    <w:tblPr>
      <w:tblCellMar>
        <w:top w:w="0" w:type="dxa"/>
        <w:left w:w="0" w:type="dxa"/>
        <w:bottom w:w="0" w:type="dxa"/>
        <w:right w:w="0" w:type="dxa"/>
      </w:tblCellMar>
    </w:tblPr>
  </w:style>
  <w:style w:type="paragraph" w:customStyle="1" w:styleId="36">
    <w:name w:val="标题4"/>
    <w:basedOn w:val="5"/>
    <w:qFormat/>
    <w:uiPriority w:val="0"/>
    <w:rPr>
      <w:rFonts w:ascii="Arial" w:hAnsi="Arial" w:eastAsia="黑体"/>
      <w:szCs w:val="20"/>
    </w:rPr>
  </w:style>
  <w:style w:type="table" w:customStyle="1" w:styleId="37">
    <w:name w:val="网格型6"/>
    <w:basedOn w:val="22"/>
    <w:qFormat/>
    <w:uiPriority w:val="0"/>
    <w:rPr>
      <w:rFonts w:ascii="Calibri" w:hAnsi="Calibri" w:eastAsia="Times New Roman" w:cs="Times New Roman"/>
      <w:kern w:val="2"/>
      <w:sz w:val="21"/>
      <w:szCs w:val="22"/>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湖北有限公司</Company>
  <Pages>10</Pages>
  <Words>1344</Words>
  <Characters>1394</Characters>
  <Lines>0</Lines>
  <Paragraphs>0</Paragraphs>
  <TotalTime>0</TotalTime>
  <ScaleCrop>false</ScaleCrop>
  <LinksUpToDate>false</LinksUpToDate>
  <CharactersWithSpaces>1403</CharactersWithSpaces>
  <Application>WPS Office_12.1.0.26391_F1E327BC-269C-435d-A152-05C5408002CA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2025-06-06T02:07:00Z</dcterms:created>
  <dc:creator>阿</dc:creator>
  <cp:lastModifiedBy>two cents</cp:lastModifiedBy>
  <cp:lastPrinted>2025-11-03T01:16:00Z</cp:lastPrinted>
  <dcterms:modified xsi:type="dcterms:W3CDTF">2026-07-21T00:00:58Z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2052-12.1.0.26391</vt:lpwstr>
  </property>
  <property fmtid="{D5CDD505-2E9C-101B-9397-08002B2CF9AE}" pid="3" name="ICV">
    <vt:lpwstr>4644CC96BE614FCB889687724A518B0B_13</vt:lpwstr>
  </property>
  <property fmtid="{D5CDD505-2E9C-101B-9397-08002B2CF9AE}" pid="4" name="KSOTemplateDocerSaveRecord">
    <vt:lpwstr>eyJoZGlkIjoiZDIzOWY4NWQzNmIzMjI2YTU4M2FmNWJiYjExYzhjYWYiLCJ1c2VySWQiOiI1MDk3ODY1ODcifQ==</vt:lpwstr>
  </property>
</Properties>
</file>