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9F34FE">
      <w:pPr>
        <w:pStyle w:val="3"/>
        <w:numPr>
          <w:numId w:val="0"/>
        </w:numPr>
        <w:ind w:leftChars="0"/>
        <w:rPr>
          <w:color w:val="auto"/>
        </w:rPr>
      </w:pPr>
      <w:r>
        <w:rPr>
          <w:color w:val="auto"/>
        </w:rPr>
        <w:t>一</w:t>
      </w:r>
      <w:r>
        <w:rPr>
          <w:rFonts w:hint="eastAsia"/>
          <w:color w:val="auto"/>
          <w:lang w:eastAsia="zh-CN"/>
        </w:rPr>
        <w:t>、</w:t>
      </w:r>
      <w:r>
        <w:rPr>
          <w:color w:val="auto"/>
        </w:rPr>
        <w:t>项目概况</w:t>
      </w:r>
    </w:p>
    <w:p w14:paraId="6F4DF86E">
      <w:pPr>
        <w:ind w:firstLine="480"/>
        <w:rPr>
          <w:rFonts w:hint="eastAsia"/>
          <w:color w:val="auto"/>
        </w:rPr>
      </w:pPr>
      <w:r>
        <w:rPr>
          <w:rFonts w:eastAsia="微软雅黑"/>
          <w:color w:val="auto"/>
        </w:rPr>
        <w:t>天门市第一人民医院是天门市集医疗、教学、科研、预防、康复于一体的国家三级甲等综合医院，由主院区、汇侨院区、竟陵院区组成。汇侨院区位于天门市状元路与汇侨大道交汇处，南临汇侨大道，东临状元路，北临河山支渠，总用地面积约1</w:t>
      </w:r>
      <w:r>
        <w:rPr>
          <w:rFonts w:hint="eastAsia"/>
          <w:color w:val="auto"/>
        </w:rPr>
        <w:t>4</w:t>
      </w:r>
      <w:r>
        <w:rPr>
          <w:rFonts w:eastAsia="微软雅黑"/>
          <w:color w:val="auto"/>
        </w:rPr>
        <w:t>.20公顷。</w:t>
      </w:r>
    </w:p>
    <w:p w14:paraId="20DC2BA3">
      <w:pPr>
        <w:ind w:firstLine="480"/>
        <w:rPr>
          <w:rFonts w:hint="eastAsia"/>
          <w:color w:val="auto"/>
        </w:rPr>
      </w:pPr>
      <w:r>
        <w:rPr>
          <w:rFonts w:eastAsia="微软雅黑"/>
          <w:color w:val="auto"/>
        </w:rPr>
        <w:t>随着医院业务量持续增长和医疗服务能级提升，现有建筑规模已难以完全满足群众就医需求和医院发展需要，医院</w:t>
      </w:r>
      <w:r>
        <w:rPr>
          <w:rFonts w:hint="eastAsia" w:ascii="宋体" w:hAnsi="宋体" w:eastAsia="宋体" w:cs="宋体"/>
          <w:color w:val="auto"/>
        </w:rPr>
        <w:t>拟申请将地块容积率由原</w:t>
      </w:r>
      <w:r>
        <w:rPr>
          <w:rFonts w:hint="eastAsia" w:eastAsia="微软雅黑"/>
          <w:color w:val="auto"/>
        </w:rPr>
        <w:t>1.2调整至1.7，</w:t>
      </w:r>
      <w:r>
        <w:rPr>
          <w:rFonts w:eastAsia="微软雅黑"/>
          <w:color w:val="auto"/>
        </w:rPr>
        <w:t>以支持后续医疗功能扩展和设施增建。</w:t>
      </w:r>
    </w:p>
    <w:p w14:paraId="33289831">
      <w:pPr>
        <w:pStyle w:val="3"/>
        <w:numPr>
          <w:numId w:val="0"/>
        </w:numPr>
        <w:ind w:leftChars="0"/>
        <w:rPr>
          <w:color w:val="auto"/>
        </w:rPr>
      </w:pPr>
      <w:r>
        <w:rPr>
          <w:color w:val="auto"/>
        </w:rPr>
        <w:t>二</w:t>
      </w:r>
      <w:r>
        <w:rPr>
          <w:rFonts w:hint="eastAsia"/>
          <w:color w:val="auto"/>
          <w:lang w:eastAsia="zh-CN"/>
        </w:rPr>
        <w:t>、</w:t>
      </w:r>
      <w:r>
        <w:rPr>
          <w:color w:val="auto"/>
        </w:rPr>
        <w:t>项目缘由</w:t>
      </w:r>
    </w:p>
    <w:p w14:paraId="2E6A9979">
      <w:pPr>
        <w:ind w:firstLine="480"/>
        <w:rPr>
          <w:rFonts w:hint="eastAsia"/>
          <w:color w:val="auto"/>
        </w:rPr>
      </w:pPr>
      <w:r>
        <w:rPr>
          <w:rFonts w:eastAsia="微软雅黑"/>
          <w:color w:val="auto"/>
        </w:rPr>
        <w:t>根据《建设用地容积率管理办法》（建规〔2012〕22号）第七条规定，国有土地使用权一经出让或划拨，任何建设单位或个人都不得擅自更改确定的容积率。确需调整的，须按法定程序进行。</w:t>
      </w:r>
      <w:r>
        <w:rPr>
          <w:rFonts w:ascii="宋体" w:hAnsi="宋体" w:eastAsia="宋体" w:cs="宋体"/>
          <w:color w:val="auto"/>
        </w:rPr>
        <w:t>我院将按照</w:t>
      </w:r>
      <w:r>
        <w:rPr>
          <w:rFonts w:eastAsia="微软雅黑"/>
          <w:color w:val="auto"/>
        </w:rPr>
        <w:t>天门市自然资源和城乡建设局指导，为天门市第一人民医院编制容积率调整申报方案。</w:t>
      </w:r>
    </w:p>
    <w:p w14:paraId="67A4367D">
      <w:pPr>
        <w:ind w:firstLine="480"/>
        <w:rPr>
          <w:rFonts w:hint="eastAsia"/>
          <w:color w:val="auto"/>
        </w:rPr>
      </w:pPr>
      <w:r>
        <w:rPr>
          <w:rFonts w:eastAsia="微软雅黑"/>
          <w:color w:val="auto"/>
        </w:rPr>
        <w:t>经初步核查，汇侨院区地块目前尚未编制覆盖该地块的控制性详细规划（以下简称"控规"），缺乏调整容积率的法定规划依据。因此，在启动容积率调整申报程序之前，需先行编制控规导则，为容积率调整提供法定规划基础。</w:t>
      </w:r>
    </w:p>
    <w:p w14:paraId="7B1EA891">
      <w:pPr>
        <w:pStyle w:val="3"/>
        <w:numPr>
          <w:numId w:val="0"/>
        </w:numPr>
        <w:ind w:leftChars="0"/>
        <w:rPr>
          <w:color w:val="auto"/>
        </w:rPr>
      </w:pPr>
      <w:r>
        <w:rPr>
          <w:color w:val="auto"/>
        </w:rPr>
        <w:t>三</w:t>
      </w:r>
      <w:r>
        <w:rPr>
          <w:rFonts w:hint="eastAsia"/>
          <w:color w:val="auto"/>
          <w:lang w:eastAsia="zh-CN"/>
        </w:rPr>
        <w:t>、</w:t>
      </w:r>
      <w:r>
        <w:rPr>
          <w:color w:val="auto"/>
        </w:rPr>
        <w:t>政策依据</w:t>
      </w:r>
    </w:p>
    <w:p w14:paraId="4917D651">
      <w:pPr>
        <w:pStyle w:val="33"/>
        <w:numPr>
          <w:ilvl w:val="0"/>
          <w:numId w:val="3"/>
        </w:numPr>
        <w:spacing w:after="60"/>
        <w:rPr>
          <w:rFonts w:hint="eastAsia"/>
          <w:color w:val="auto"/>
        </w:rPr>
      </w:pPr>
      <w:r>
        <w:rPr>
          <w:rFonts w:eastAsia="微软雅黑"/>
          <w:color w:val="auto"/>
        </w:rPr>
        <w:t>《中华人民共和国城乡规划法》（2019年修正）</w:t>
      </w:r>
    </w:p>
    <w:p w14:paraId="2EDF1DF2">
      <w:pPr>
        <w:pStyle w:val="33"/>
        <w:numPr>
          <w:ilvl w:val="0"/>
          <w:numId w:val="3"/>
        </w:numPr>
        <w:spacing w:after="60"/>
        <w:rPr>
          <w:rFonts w:hint="eastAsia"/>
          <w:color w:val="auto"/>
        </w:rPr>
      </w:pPr>
      <w:r>
        <w:rPr>
          <w:rFonts w:eastAsia="微软雅黑"/>
          <w:color w:val="auto"/>
        </w:rPr>
        <w:t>《建设用地容积率管理办法》（建规〔2012〕22号）</w:t>
      </w:r>
    </w:p>
    <w:p w14:paraId="41E63DEE">
      <w:pPr>
        <w:pStyle w:val="33"/>
        <w:numPr>
          <w:ilvl w:val="0"/>
          <w:numId w:val="3"/>
        </w:numPr>
        <w:spacing w:after="60"/>
        <w:rPr>
          <w:rFonts w:hint="eastAsia"/>
          <w:color w:val="auto"/>
        </w:rPr>
      </w:pPr>
      <w:r>
        <w:rPr>
          <w:rFonts w:eastAsia="微软雅黑"/>
          <w:color w:val="auto"/>
        </w:rPr>
        <w:t>《城市、镇控制性详细规划编制审批办法》（住房和城乡建设部令第7号）</w:t>
      </w:r>
    </w:p>
    <w:p w14:paraId="3C416098">
      <w:pPr>
        <w:pStyle w:val="33"/>
        <w:numPr>
          <w:ilvl w:val="0"/>
          <w:numId w:val="3"/>
        </w:numPr>
        <w:spacing w:after="60"/>
        <w:rPr>
          <w:rFonts w:hint="eastAsia"/>
          <w:color w:val="auto"/>
        </w:rPr>
      </w:pPr>
      <w:r>
        <w:rPr>
          <w:rFonts w:eastAsia="微软雅黑"/>
          <w:color w:val="auto"/>
        </w:rPr>
        <w:t>《中共中央国务院关于建立国土空间规划体系并监督实施的若干意见》（中发〔2019〕18号）</w:t>
      </w:r>
    </w:p>
    <w:p w14:paraId="7D844B1F">
      <w:pPr>
        <w:pStyle w:val="33"/>
        <w:numPr>
          <w:ilvl w:val="0"/>
          <w:numId w:val="3"/>
        </w:numPr>
        <w:spacing w:after="60"/>
        <w:rPr>
          <w:rFonts w:hint="eastAsia"/>
          <w:color w:val="auto"/>
        </w:rPr>
      </w:pPr>
      <w:r>
        <w:rPr>
          <w:rFonts w:eastAsia="微软雅黑"/>
          <w:color w:val="auto"/>
        </w:rPr>
        <w:t>《天门市国土空间总体规划（2021-2035年）》</w:t>
      </w:r>
    </w:p>
    <w:p w14:paraId="58AE27C2">
      <w:pPr>
        <w:pStyle w:val="33"/>
        <w:numPr>
          <w:ilvl w:val="0"/>
          <w:numId w:val="3"/>
        </w:numPr>
        <w:spacing w:after="60"/>
        <w:rPr>
          <w:rFonts w:hint="eastAsia"/>
          <w:color w:val="auto"/>
        </w:rPr>
      </w:pPr>
      <w:r>
        <w:rPr>
          <w:rFonts w:eastAsia="微软雅黑"/>
          <w:color w:val="auto"/>
        </w:rPr>
        <w:t>《湖北省城乡规划条例》</w:t>
      </w:r>
    </w:p>
    <w:p w14:paraId="59DF2264">
      <w:pPr>
        <w:pStyle w:val="33"/>
        <w:numPr>
          <w:ilvl w:val="0"/>
          <w:numId w:val="3"/>
        </w:numPr>
        <w:spacing w:after="60"/>
        <w:rPr>
          <w:rFonts w:hint="eastAsia"/>
          <w:color w:val="auto"/>
        </w:rPr>
      </w:pPr>
      <w:r>
        <w:rPr>
          <w:rFonts w:eastAsia="微软雅黑"/>
          <w:color w:val="auto"/>
        </w:rPr>
        <w:t>《湖北省规划设计计费指导意见》</w:t>
      </w:r>
    </w:p>
    <w:p w14:paraId="19982399">
      <w:pPr>
        <w:pStyle w:val="3"/>
        <w:numPr>
          <w:numId w:val="0"/>
        </w:numPr>
        <w:ind w:leftChars="0"/>
        <w:rPr>
          <w:color w:val="auto"/>
        </w:rPr>
      </w:pPr>
      <w:r>
        <w:rPr>
          <w:rFonts w:hint="eastAsia"/>
          <w:color w:val="auto"/>
          <w:lang w:eastAsia="zh-CN"/>
        </w:rPr>
        <w:t>四、</w:t>
      </w:r>
      <w:r>
        <w:rPr>
          <w:color w:val="auto"/>
        </w:rPr>
        <w:t>第一阶段：</w:t>
      </w:r>
      <w:r>
        <w:rPr>
          <w:rFonts w:hint="eastAsia"/>
          <w:color w:val="auto"/>
          <w:lang w:val="en-US" w:eastAsia="zh-CN"/>
        </w:rPr>
        <w:t xml:space="preserve"> </w:t>
      </w:r>
      <w:r>
        <w:rPr>
          <w:color w:val="auto"/>
        </w:rPr>
        <w:t>控规导则编制</w:t>
      </w:r>
    </w:p>
    <w:p w14:paraId="526F75CF">
      <w:pPr>
        <w:ind w:firstLine="480"/>
        <w:rPr>
          <w:rFonts w:hint="eastAsia" w:eastAsia="微软雅黑"/>
          <w:color w:val="auto"/>
          <w:lang w:eastAsia="zh-CN"/>
        </w:rPr>
      </w:pPr>
      <w:r>
        <w:rPr>
          <w:rFonts w:eastAsia="微软雅黑"/>
          <w:color w:val="auto"/>
        </w:rPr>
        <w:t>本阶段由</w:t>
      </w:r>
      <w:r>
        <w:rPr>
          <w:rFonts w:hint="eastAsia" w:eastAsia="微软雅黑"/>
          <w:color w:val="auto"/>
          <w:lang w:eastAsia="zh-CN"/>
        </w:rPr>
        <w:t>中标方</w:t>
      </w:r>
      <w:r>
        <w:rPr>
          <w:rFonts w:eastAsia="微软雅黑"/>
          <w:color w:val="auto"/>
        </w:rPr>
        <w:t>承担全部技术编制工作，</w:t>
      </w:r>
      <w:r>
        <w:rPr>
          <w:rFonts w:hint="eastAsia" w:eastAsia="微软雅黑"/>
          <w:color w:val="auto"/>
          <w:lang w:eastAsia="zh-CN"/>
        </w:rPr>
        <w:t>通过</w:t>
      </w:r>
      <w:r>
        <w:rPr>
          <w:rFonts w:eastAsia="微软雅黑"/>
          <w:color w:val="auto"/>
        </w:rPr>
        <w:t>天门市自然资源和城乡建设局组织编制机关负责审查和报批</w:t>
      </w:r>
      <w:r>
        <w:rPr>
          <w:rFonts w:hint="eastAsia" w:eastAsia="微软雅黑"/>
          <w:color w:val="auto"/>
          <w:lang w:eastAsia="zh-CN"/>
        </w:rPr>
        <w:t>，获批控规导则。</w:t>
      </w:r>
    </w:p>
    <w:p w14:paraId="1175771C">
      <w:pPr>
        <w:pStyle w:val="3"/>
        <w:numPr>
          <w:numId w:val="0"/>
        </w:numPr>
        <w:ind w:leftChars="200"/>
        <w:rPr>
          <w:color w:val="auto"/>
        </w:rPr>
      </w:pPr>
      <w:bookmarkStart w:id="0" w:name="_GoBack"/>
      <w:bookmarkEnd w:id="0"/>
      <w:r>
        <w:rPr>
          <w:color w:val="auto"/>
        </w:rPr>
        <w:t>第二阶段：</w:t>
      </w:r>
      <w:r>
        <w:rPr>
          <w:rFonts w:hint="eastAsia" w:ascii="宋体" w:hAnsi="宋体" w:eastAsia="宋体"/>
          <w:color w:val="auto"/>
        </w:rPr>
        <w:t>规划</w:t>
      </w:r>
      <w:r>
        <w:rPr>
          <w:color w:val="auto"/>
        </w:rPr>
        <w:t>调整申报</w:t>
      </w:r>
    </w:p>
    <w:p w14:paraId="5C1C0B3C">
      <w:r>
        <w:rPr>
          <w:rFonts w:eastAsia="微软雅黑"/>
          <w:color w:val="auto"/>
        </w:rPr>
        <w:t>控规导则获批后，拟调整容积率已纳入控规体系。依据《建设用地容积率管理办法》第九条，按"拟调整的容积率符合划拨或出让地块控制性详细规划要求"的程序，启动容积率调整申报。本阶段由</w:t>
      </w:r>
      <w:r>
        <w:rPr>
          <w:rFonts w:hint="eastAsia" w:eastAsia="微软雅黑"/>
          <w:color w:val="auto"/>
          <w:lang w:eastAsia="zh-CN"/>
        </w:rPr>
        <w:t>中标方</w:t>
      </w:r>
      <w:r>
        <w:rPr>
          <w:rFonts w:eastAsia="微软雅黑"/>
          <w:color w:val="auto"/>
        </w:rPr>
        <w:t>编制申报方案并配合程序推进，</w:t>
      </w:r>
      <w:r>
        <w:rPr>
          <w:rFonts w:hint="eastAsia" w:eastAsia="微软雅黑"/>
          <w:color w:val="auto"/>
          <w:lang w:eastAsia="zh-CN"/>
        </w:rPr>
        <w:t>完成规划调整。</w:t>
      </w:r>
    </w:p>
    <w:p w14:paraId="5E64F291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</w:t>
      </w:r>
    </w:p>
    <w:sectPr>
      <w:footerReference r:id="rId3" w:type="default"/>
      <w:pgSz w:w="11906" w:h="16838"/>
      <w:pgMar w:top="1134" w:right="1418" w:bottom="1134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roman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C6307D">
    <w:pPr>
      <w:pStyle w:val="1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A92310">
                          <w:pPr>
                            <w:pStyle w:val="1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CA92310">
                    <w:pPr>
                      <w:pStyle w:val="1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32685A"/>
    <w:multiLevelType w:val="multilevel"/>
    <w:tmpl w:val="1F32685A"/>
    <w:lvl w:ilvl="0" w:tentative="0">
      <w:start w:val="1"/>
      <w:numFmt w:val="decimal"/>
      <w:pStyle w:val="28"/>
      <w:lvlText w:val="%1.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1">
    <w:nsid w:val="4E27A688"/>
    <w:multiLevelType w:val="multilevel"/>
    <w:tmpl w:val="4E27A688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2">
    <w:nsid w:val="5FE5101C"/>
    <w:multiLevelType w:val="multilevel"/>
    <w:tmpl w:val="5FE5101C"/>
    <w:lvl w:ilvl="0" w:tentative="0">
      <w:start w:val="1"/>
      <w:numFmt w:val="bullet"/>
      <w:lvlText w:val="•"/>
      <w:lvlJc w:val="left"/>
      <w:pPr>
        <w:ind w:left="720" w:hanging="360"/>
      </w:pPr>
    </w:lvl>
    <w:lvl w:ilvl="1" w:tentative="0">
      <w:start w:val="1"/>
      <w:numFmt w:val="bullet"/>
      <w:lvlText w:val="◦"/>
      <w:lvlJc w:val="left"/>
      <w:pPr>
        <w:ind w:left="1080" w:hanging="360"/>
      </w:pPr>
    </w:lvl>
    <w:lvl w:ilvl="2" w:tentative="0">
      <w:start w:val="1"/>
      <w:numFmt w:val="bullet"/>
      <w:lvlText w:val="▪"/>
      <w:lvlJc w:val="left"/>
      <w:pPr>
        <w:ind w:left="1440" w:hanging="360"/>
      </w:pPr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842452"/>
    <w:rsid w:val="00B25E0C"/>
    <w:rsid w:val="01B513E5"/>
    <w:rsid w:val="04D82D0C"/>
    <w:rsid w:val="09474D20"/>
    <w:rsid w:val="0B8F3DEA"/>
    <w:rsid w:val="0E63197E"/>
    <w:rsid w:val="0E670397"/>
    <w:rsid w:val="0F047A89"/>
    <w:rsid w:val="0F37357E"/>
    <w:rsid w:val="103A04BC"/>
    <w:rsid w:val="11407D54"/>
    <w:rsid w:val="116740A1"/>
    <w:rsid w:val="12312715"/>
    <w:rsid w:val="12DB66FD"/>
    <w:rsid w:val="130F5C30"/>
    <w:rsid w:val="152C0FBD"/>
    <w:rsid w:val="15DF08B8"/>
    <w:rsid w:val="162A53BE"/>
    <w:rsid w:val="18A1330D"/>
    <w:rsid w:val="18AF162F"/>
    <w:rsid w:val="19341070"/>
    <w:rsid w:val="1A3D6BB5"/>
    <w:rsid w:val="1BB74EEE"/>
    <w:rsid w:val="1C27081B"/>
    <w:rsid w:val="1C747071"/>
    <w:rsid w:val="1D532009"/>
    <w:rsid w:val="1E126711"/>
    <w:rsid w:val="1E965ADC"/>
    <w:rsid w:val="1F736570"/>
    <w:rsid w:val="1F97749C"/>
    <w:rsid w:val="1FBE772B"/>
    <w:rsid w:val="206C2341"/>
    <w:rsid w:val="21AC3DB3"/>
    <w:rsid w:val="221C5952"/>
    <w:rsid w:val="251D54C7"/>
    <w:rsid w:val="25473410"/>
    <w:rsid w:val="264A07EB"/>
    <w:rsid w:val="27B468BB"/>
    <w:rsid w:val="28911F2D"/>
    <w:rsid w:val="28FB6912"/>
    <w:rsid w:val="293715E5"/>
    <w:rsid w:val="293E4730"/>
    <w:rsid w:val="29435826"/>
    <w:rsid w:val="2BC80D77"/>
    <w:rsid w:val="2C5D1363"/>
    <w:rsid w:val="2CF717B7"/>
    <w:rsid w:val="2D9D5991"/>
    <w:rsid w:val="2E1161C9"/>
    <w:rsid w:val="2FF574D3"/>
    <w:rsid w:val="302723B3"/>
    <w:rsid w:val="33852335"/>
    <w:rsid w:val="33BF7284"/>
    <w:rsid w:val="34A664F8"/>
    <w:rsid w:val="34FD096D"/>
    <w:rsid w:val="3515301D"/>
    <w:rsid w:val="36ED530F"/>
    <w:rsid w:val="397A79F8"/>
    <w:rsid w:val="3AD35612"/>
    <w:rsid w:val="3C264863"/>
    <w:rsid w:val="3C6908E7"/>
    <w:rsid w:val="3CDF1E8E"/>
    <w:rsid w:val="3DCC1CEF"/>
    <w:rsid w:val="3DF74328"/>
    <w:rsid w:val="3E9D5936"/>
    <w:rsid w:val="3EBE6087"/>
    <w:rsid w:val="40CE4C5A"/>
    <w:rsid w:val="40F3505F"/>
    <w:rsid w:val="41AE2E46"/>
    <w:rsid w:val="42C421E7"/>
    <w:rsid w:val="42F308B1"/>
    <w:rsid w:val="43CA7ECB"/>
    <w:rsid w:val="45736390"/>
    <w:rsid w:val="457E74C5"/>
    <w:rsid w:val="469031CB"/>
    <w:rsid w:val="47173184"/>
    <w:rsid w:val="486E604D"/>
    <w:rsid w:val="491A0EBA"/>
    <w:rsid w:val="4A7B1CDE"/>
    <w:rsid w:val="4DB03590"/>
    <w:rsid w:val="52482D74"/>
    <w:rsid w:val="5692056C"/>
    <w:rsid w:val="57311572"/>
    <w:rsid w:val="57760F4E"/>
    <w:rsid w:val="5ABD1400"/>
    <w:rsid w:val="5B4869ED"/>
    <w:rsid w:val="5C0E0E83"/>
    <w:rsid w:val="5C966047"/>
    <w:rsid w:val="5D786D1A"/>
    <w:rsid w:val="5F545483"/>
    <w:rsid w:val="614926D5"/>
    <w:rsid w:val="62451451"/>
    <w:rsid w:val="62E23157"/>
    <w:rsid w:val="634A17BF"/>
    <w:rsid w:val="637820DD"/>
    <w:rsid w:val="63C05E4E"/>
    <w:rsid w:val="64104F27"/>
    <w:rsid w:val="64842452"/>
    <w:rsid w:val="652135E5"/>
    <w:rsid w:val="666C6A4D"/>
    <w:rsid w:val="668110D4"/>
    <w:rsid w:val="67892A30"/>
    <w:rsid w:val="678C42CF"/>
    <w:rsid w:val="69EC6364"/>
    <w:rsid w:val="6B126E3A"/>
    <w:rsid w:val="6B880FF7"/>
    <w:rsid w:val="6C6B28EF"/>
    <w:rsid w:val="6DFF6DF1"/>
    <w:rsid w:val="6FAA5C3A"/>
    <w:rsid w:val="753B7125"/>
    <w:rsid w:val="768D2C66"/>
    <w:rsid w:val="772A798F"/>
    <w:rsid w:val="7A1F14AE"/>
    <w:rsid w:val="7A466372"/>
    <w:rsid w:val="7B6312FE"/>
    <w:rsid w:val="7C3C22F1"/>
    <w:rsid w:val="7C7B0A73"/>
    <w:rsid w:val="7DFB58B2"/>
    <w:rsid w:val="7FB2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1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firstLine="400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24">
    <w:name w:val="Default Paragraph Font"/>
    <w:semiHidden/>
    <w:qFormat/>
    <w:uiPriority w:val="0"/>
  </w:style>
  <w:style w:type="table" w:default="1" w:styleId="2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 3"/>
    <w:basedOn w:val="1"/>
    <w:qFormat/>
    <w:uiPriority w:val="0"/>
    <w:pPr>
      <w:spacing w:after="120" w:line="240" w:lineRule="auto"/>
    </w:pPr>
    <w:rPr>
      <w:rFonts w:eastAsiaTheme="minorEastAsia"/>
      <w:kern w:val="0"/>
      <w:sz w:val="16"/>
      <w:szCs w:val="16"/>
    </w:rPr>
  </w:style>
  <w:style w:type="paragraph" w:styleId="12">
    <w:name w:val="Body Text"/>
    <w:basedOn w:val="1"/>
    <w:unhideWhenUsed/>
    <w:qFormat/>
    <w:uiPriority w:val="99"/>
    <w:pPr>
      <w:spacing w:after="120"/>
    </w:pPr>
  </w:style>
  <w:style w:type="paragraph" w:styleId="13">
    <w:name w:val="Plain Text"/>
    <w:basedOn w:val="1"/>
    <w:qFormat/>
    <w:uiPriority w:val="0"/>
    <w:rPr>
      <w:rFonts w:ascii="宋体" w:hAnsi="Courier New"/>
    </w:rPr>
  </w:style>
  <w:style w:type="paragraph" w:styleId="1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1"/>
    <w:basedOn w:val="1"/>
    <w:next w:val="1"/>
    <w:unhideWhenUsed/>
    <w:qFormat/>
    <w:uiPriority w:val="1"/>
  </w:style>
  <w:style w:type="paragraph" w:styleId="17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18">
    <w:name w:val="toc 6"/>
    <w:basedOn w:val="1"/>
    <w:next w:val="1"/>
    <w:unhideWhenUsed/>
    <w:qFormat/>
    <w:uiPriority w:val="39"/>
    <w:pPr>
      <w:spacing w:line="360" w:lineRule="auto"/>
      <w:ind w:left="1200"/>
      <w:jc w:val="left"/>
    </w:pPr>
    <w:rPr>
      <w:rFonts w:hAnsi="宋体" w:eastAsiaTheme="minorHAnsi"/>
      <w:sz w:val="18"/>
      <w:szCs w:val="18"/>
    </w:rPr>
  </w:style>
  <w:style w:type="paragraph" w:styleId="19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20">
    <w:name w:val="Normal (Web)"/>
    <w:basedOn w:val="1"/>
    <w:qFormat/>
    <w:uiPriority w:val="0"/>
    <w:rPr>
      <w:sz w:val="24"/>
    </w:rPr>
  </w:style>
  <w:style w:type="paragraph" w:styleId="21">
    <w:name w:val="Body Text First Indent"/>
    <w:basedOn w:val="12"/>
    <w:next w:val="18"/>
    <w:qFormat/>
    <w:uiPriority w:val="0"/>
    <w:pPr>
      <w:ind w:firstLine="420" w:firstLineChars="100"/>
    </w:pPr>
  </w:style>
  <w:style w:type="table" w:styleId="23">
    <w:name w:val="Table Grid"/>
    <w:basedOn w:val="22"/>
    <w:qFormat/>
    <w:uiPriority w:val="39"/>
    <w:rPr>
      <w:rFonts w:ascii="Times New Roman" w:hAnsi="Times New Roman" w:eastAsia="宋体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25">
    <w:name w:val="Strong"/>
    <w:basedOn w:val="24"/>
    <w:qFormat/>
    <w:uiPriority w:val="0"/>
    <w:rPr>
      <w:b/>
      <w:bCs/>
    </w:rPr>
  </w:style>
  <w:style w:type="paragraph" w:customStyle="1" w:styleId="26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27">
    <w:name w:val="No Spacing1"/>
    <w:basedOn w:val="1"/>
    <w:qFormat/>
    <w:uiPriority w:val="1"/>
    <w:pPr>
      <w:spacing w:line="400" w:lineRule="exact"/>
    </w:pPr>
    <w:rPr>
      <w:sz w:val="24"/>
    </w:rPr>
  </w:style>
  <w:style w:type="paragraph" w:customStyle="1" w:styleId="28">
    <w:name w:val="U_标题1"/>
    <w:basedOn w:val="2"/>
    <w:qFormat/>
    <w:uiPriority w:val="99"/>
    <w:pPr>
      <w:numPr>
        <w:ilvl w:val="0"/>
        <w:numId w:val="2"/>
      </w:numPr>
      <w:spacing w:before="30" w:beforeLines="30" w:after="30" w:afterLines="30" w:line="300" w:lineRule="auto"/>
    </w:pPr>
    <w:rPr>
      <w:rFonts w:eastAsia="黑体"/>
      <w:bCs w:val="0"/>
      <w:sz w:val="32"/>
      <w:szCs w:val="20"/>
    </w:rPr>
  </w:style>
  <w:style w:type="paragraph" w:customStyle="1" w:styleId="29">
    <w:name w:val="U_正文2"/>
    <w:basedOn w:val="1"/>
    <w:qFormat/>
    <w:uiPriority w:val="0"/>
    <w:pPr>
      <w:spacing w:before="10" w:beforeLines="10" w:after="10" w:afterLines="10" w:line="300" w:lineRule="auto"/>
    </w:pPr>
    <w:rPr>
      <w:sz w:val="24"/>
      <w:szCs w:val="20"/>
    </w:rPr>
  </w:style>
  <w:style w:type="paragraph" w:customStyle="1" w:styleId="30">
    <w:name w:val="U_正文"/>
    <w:basedOn w:val="1"/>
    <w:qFormat/>
    <w:uiPriority w:val="0"/>
    <w:pPr>
      <w:spacing w:before="20" w:beforeLines="20" w:after="20" w:afterLines="20" w:line="300" w:lineRule="auto"/>
      <w:ind w:firstLine="200" w:firstLineChars="200"/>
    </w:pPr>
    <w:rPr>
      <w:sz w:val="24"/>
      <w:szCs w:val="20"/>
    </w:rPr>
  </w:style>
  <w:style w:type="paragraph" w:customStyle="1" w:styleId="31">
    <w:name w:val="Table Paragraph"/>
    <w:basedOn w:val="1"/>
    <w:qFormat/>
    <w:uiPriority w:val="1"/>
    <w:rPr>
      <w:rFonts w:ascii="宋体" w:hAnsi="宋体" w:eastAsia="宋体" w:cs="宋体"/>
    </w:rPr>
  </w:style>
  <w:style w:type="character" w:customStyle="1" w:styleId="32">
    <w:name w:val="font31"/>
    <w:basedOn w:val="24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paragraph" w:styleId="33">
    <w:name w:val="List Paragraph"/>
    <w:basedOn w:val="1"/>
    <w:qFormat/>
    <w:uiPriority w:val="34"/>
    <w:pPr>
      <w:ind w:firstLine="420" w:firstLineChars="200"/>
    </w:pPr>
  </w:style>
  <w:style w:type="paragraph" w:customStyle="1" w:styleId="34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</w:rPr>
  </w:style>
  <w:style w:type="table" w:customStyle="1" w:styleId="3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6">
    <w:name w:val="标题4"/>
    <w:basedOn w:val="5"/>
    <w:qFormat/>
    <w:uiPriority w:val="0"/>
    <w:rPr>
      <w:rFonts w:ascii="Arial" w:hAnsi="Arial" w:eastAsia="黑体"/>
      <w:szCs w:val="20"/>
    </w:rPr>
  </w:style>
  <w:style w:type="table" w:customStyle="1" w:styleId="37">
    <w:name w:val="网格型6"/>
    <w:basedOn w:val="22"/>
    <w:qFormat/>
    <w:uiPriority w:val="0"/>
    <w:rPr>
      <w:rFonts w:ascii="Calibri" w:hAnsi="Calibri" w:eastAsia="Times New Roman" w:cs="Times New Roman"/>
      <w:kern w:val="2"/>
      <w:sz w:val="21"/>
      <w:szCs w:val="22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湖北有限公司</Company>
  <Pages>2</Pages>
  <Words>1</Words>
  <Characters>1</Characters>
  <Lines>0</Lines>
  <Paragraphs>0</Paragraphs>
  <TotalTime>0</TotalTime>
  <ScaleCrop>false</ScaleCrop>
  <LinksUpToDate>false</LinksUpToDate>
  <CharactersWithSpaces>1</CharactersWithSpaces>
  <Application>WPS Office_12.1.0.26936_F1E327BC-269C-435d-A152-05C5408002CA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2025-06-06T02:07:00Z</dcterms:created>
  <dc:creator>阿</dc:creator>
  <cp:lastModifiedBy>two cents</cp:lastModifiedBy>
  <cp:lastPrinted>2025-11-03T01:16:00Z</cp:lastPrinted>
  <dcterms:modified xsi:type="dcterms:W3CDTF">2026-08-10T02:31:52Z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2052-12.1.0.26936</vt:lpwstr>
  </property>
  <property fmtid="{D5CDD505-2E9C-101B-9397-08002B2CF9AE}" pid="3" name="ICV">
    <vt:lpwstr>4644CC96BE614FCB889687724A518B0B_13</vt:lpwstr>
  </property>
  <property fmtid="{D5CDD505-2E9C-101B-9397-08002B2CF9AE}" pid="4" name="KSOTemplateDocerSaveRecord">
    <vt:lpwstr>eyJoZGlkIjoiZDIzOWY4NWQzNmIzMjI2YTU4M2FmNWJiYjExYzhjYWYiLCJ1c2VySWQiOiI1MDk3ODY1ODcifQ==</vt:lpwstr>
  </property>
</Properties>
</file>