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569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6"/>
        <w:gridCol w:w="1458"/>
        <w:gridCol w:w="1027"/>
        <w:gridCol w:w="367"/>
        <w:gridCol w:w="526"/>
        <w:gridCol w:w="367"/>
        <w:gridCol w:w="593"/>
        <w:gridCol w:w="4582"/>
      </w:tblGrid>
      <w:tr w14:paraId="2EBF81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872" w:type="dxa"/>
            <w:gridSpan w:val="8"/>
            <w:tcBorders>
              <w:top w:val="nil"/>
              <w:left w:val="nil"/>
              <w:bottom w:val="single" w:color="000000" w:sz="4" w:space="0"/>
              <w:right w:val="nil"/>
            </w:tcBorders>
            <w:shd w:val="clear"/>
            <w:noWrap/>
            <w:vAlign w:val="center"/>
          </w:tcPr>
          <w:p w14:paraId="52B97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医疗器械采购需求（预算252850元）</w:t>
            </w:r>
          </w:p>
        </w:tc>
      </w:tr>
      <w:tr w14:paraId="21B3AA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B7F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448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产品名称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901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规格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DF2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E40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预采单价（元）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BDE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E83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金额（元）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199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技术参数</w:t>
            </w:r>
          </w:p>
        </w:tc>
      </w:tr>
      <w:tr w14:paraId="707FF5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019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EE8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双摇多功能病床（带轮）</w:t>
            </w:r>
          </w:p>
        </w:tc>
        <w:tc>
          <w:tcPr>
            <w:tcW w:w="2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CE0F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2060*860*500mm，床板采用冷轧钢板，ABS床头尾板，铝合金折叠护栏，5寸中控脚轮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99F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FA7B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2600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6B9E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B7FC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208000</w:t>
            </w:r>
          </w:p>
        </w:tc>
        <w:tc>
          <w:tcPr>
            <w:tcW w:w="11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611F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材料：厚度≥80mm。内褥采用高密度海绵≥30mm厚+环保机压椰棕≥50mm厚；外套为牛津防水布，有透气孔，带拉链，可拆洗两侧。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配置高级静音轮，易推可锁定限移。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海绵要求:新料加工，密度≥27-30kg/m³；提供海绵密度第三方检验报告。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提供床垫甲醛合格检测报告；提供防水布具有抗菌检测报告，检测依据GB21551.2-2010抗菌、除菌性能测定法检测金黄色葡萄球菌和大肠埃希氏菌抗菌检测报告，抗菌率均要达到95%以上；提供海绵具有防螨检测报告，检测依据GB/T24253-2009防螨效果检测。床身框架：床身框架：床身框架结构采用碳钢冷拉型材，型材规格：≥30×70×1.5mm，其厚度为≥1.5mm(提供钢管规格、化学元素合格、钢管抗拉强度的第三方检测机构出具的检测报告)。床面材料：病床的床面板采用四块碳钢冷轧精制平板制作，其板厚≥1.2mm。数冲折弯设备冲压拉伸成型，面板四周透气流体槽，板面成凹面，四角为整角。病床各面板连接件为钢件。(提供钢板规格、化学元素合格的第三方检测机构出具的检测报告)。背部床板：背部床板有加强钢管，钢管规格采用≥35mm×25mm×1.0mm和 20mm×40mm×1.0mm，钢管的长度分别是≥2900mm和长度≥1300mm；床板与床板之间的运动连接铁件采用厚度≥3mm的U型卡铁，三面焊接；采用铰链式活动关节双支撑结构，支撑管轴¢32mm，厚度≥3.0mm。（提供实物图片证明）铝合金侧伏式护栏，可收缩平放，6档支柱≥φ19×1.2mm不锈钢管制作；单式按键快速定位保险开关，铁铸件制作，U型钢制上下座，内嵌塑料件，坚固耐用，且具有防夹手功能。脚轮系统：配置≥φ125mm中控万向轮，采用ABS塑料踏板式中控装置，一脚踩刹,静音耐磨。附件要求：输液架插孔、引流袋挂钩4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配倒式餐板尺寸805×320×620mm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配外挂置物筐尺寸480×300×130mm</w:t>
            </w:r>
          </w:p>
        </w:tc>
      </w:tr>
      <w:tr w14:paraId="345B29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C6C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499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塑钢治疗车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1C3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760*480*880mm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6C3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4136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7ABB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77EB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21600</w:t>
            </w:r>
          </w:p>
        </w:tc>
        <w:tc>
          <w:tcPr>
            <w:tcW w:w="11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55A1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配置：车体带中控锁；推车正面：配两层中抽屉，三折静音轨道，抽屉面高120MM；内空：430×335×110mm；抽屉配有3×3分隔片，可自由搭配；抽屉拉手为燕尾式。抽屉面板上配有防盗式封口插槽标识牌，防止液体及灰尘进入；配有1个杂物盒；1个2L圆桶锐器盒，2个ABS污物桶。材料：整车主要由ABS工程塑料、铝合金四柱承重。ABS注塑成型一体化台面，台面、护栏、扶手一体化，使物品不易滑落、易推拉。台面上配透明软玻璃。（提供工程塑料(面板)防霉检测报告，检测依据：GB/T1741-2020 《漆膜耐霉菌性测定法》 防霉要求：黑曲霉、黄曲霉、桔青霉、腊叶芽枝霉、链格孢、绿色木霉、出芽短梗、宛氏拟青霉等霉菌检测结果０级——在放大≥５０倍下无明显长霉。）结构要求：车体台面大型模具一体注塑成型，元宝型设计，整个台面无缝连接，液体无法渗透进入；两边整体带双层扶手，三面整体护栏，高度60mm。配备￠100mm万向静音轮，其中2只带刹车功能，脚轮材料为高强度聚氨酯，防静电、防毛发缠绕、移动轻便灵活。</w:t>
            </w:r>
          </w:p>
        </w:tc>
      </w:tr>
      <w:tr w14:paraId="309FD4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48E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803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不锈钢污物袋车</w:t>
            </w:r>
          </w:p>
        </w:tc>
        <w:tc>
          <w:tcPr>
            <w:tcW w:w="2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94C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700*550*890mm，不锈钢车架，帆布污物袋，4寸脚轮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EB7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4765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D4BE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2DBF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2400</w:t>
            </w:r>
          </w:p>
        </w:tc>
        <w:tc>
          <w:tcPr>
            <w:tcW w:w="11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E11D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本设备严格遵循医疗环境标准制造，主体框架采用医用级抗腐蚀304不锈钢管（规格≥Φ25×1.2mm），通过精密焊接工艺成型，确保整体结构在临床高强度使用下的坚固与长期稳定。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移动系统核心为医用级静音万向轮，其采用高弹性无痕材质与精密轴承，在保证超静音、顺滑推行体验的同时，能全面保护各类地面。轮组标配一体式制动锁定装置，可实现即时、稳固的限位驻停，充分满足治疗、转运等场景中对灵活移动与操作安全的双重严苛要求。材质：车架主管耐腐304不锈钢管≥￠25×1.2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配置高级静音轮，易推可锁定限移。</w:t>
            </w:r>
          </w:p>
        </w:tc>
      </w:tr>
      <w:tr w14:paraId="09580D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CB5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07F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不锈钢超市购物车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3CE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680*480*1070mm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76C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1A5A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500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3641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3C81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3000</w:t>
            </w:r>
          </w:p>
        </w:tc>
        <w:tc>
          <w:tcPr>
            <w:tcW w:w="11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158B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本品采用高规格矩形钢管框架与医用级移动系统，专为满足临床环境的耐久与静音需求设计。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主体结构：承重框架由≥25×50mm矩形钢管构成，结构稳固。表面经医用级环保喷塑工艺处理，涂层均匀，附着力强，兼具优异的耐腐蚀、防锈蚀及易清洁特性。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移动系统：搭载医用级静音万向轮，推行顺畅安静，且能有效保护地面。配备一脚双刹式中央制动装置，实现即踩即锁，确保设备在病房、走廊等空间内移动与驻停时的绝对稳定与安全。配置：配备￠100mm万向静音轮，其中2只带刹车功能，脚轮材料为高强度聚氨酯，防静电、防毛发缠绕、移动轻便灵活</w:t>
            </w:r>
          </w:p>
        </w:tc>
      </w:tr>
      <w:tr w14:paraId="1FB28C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02D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E9B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不锈钢拖车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298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270*220*600mm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351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0527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250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6C1E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A1AA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500</w:t>
            </w:r>
          </w:p>
        </w:tc>
        <w:tc>
          <w:tcPr>
            <w:tcW w:w="11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E1AF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本品主体采用医疗级304不锈钢管材（Φ22×1.2mm），结构轻巧而坚固。配备医用级静音万向轮，推行顺畅，且带有一脚双刹式制动装置，确保移动灵活与驻停稳定。配置：配10升方形利器盒、配备￠100mm万向静音轮，其中2只带刹车功能，脚轮材料为高强度聚氨酯，防静电、防毛发缠绕、移动轻便灵活</w:t>
            </w:r>
          </w:p>
        </w:tc>
      </w:tr>
      <w:tr w14:paraId="378278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692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E81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不锈钢无菌包存放架(万向轮）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631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800*450*1560mm（4层）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F3B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DD61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1500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96E0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A3CE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3000</w:t>
            </w:r>
          </w:p>
        </w:tc>
        <w:tc>
          <w:tcPr>
            <w:tcW w:w="11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DB24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本品采用全304不锈钢材质，专为高强度医疗环境设计。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主体承重框架选用 Φ32×1.5mm加厚不锈钢管，通过精密焊接工艺制造，结构强度与抗冲击性显著提升。四层搁板均为 不锈钢圆条焊接网格结构，稳固通风，极易清洁，并能防止液体滞留。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标配 医用级万向静音滚轮，移动顺滑无声，且配备整体制动装置，确保在病房、走廊等场景中移动与驻停时的稳定与安全。配置：配备￠125mm万向静音轮，其中2只带刹车功能，脚轮材料为高强度聚氨酯，防静电、防毛发缠绕、移动轻便灵活</w:t>
            </w:r>
          </w:p>
        </w:tc>
      </w:tr>
      <w:tr w14:paraId="77363D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70A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544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不锈钢双层器械台(万向轮，带护栏）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6BD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1250*700*800mm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A57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A477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2000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DB78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AEFD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4000</w:t>
            </w:r>
          </w:p>
        </w:tc>
        <w:tc>
          <w:tcPr>
            <w:tcW w:w="11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6384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材料：两层台面，凹形设计，采用优质耐腐304不锈钢板冲压成型，板厚≥1.0mm；车架主管为耐腐304不锈钢管￠25×1.2mm。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提供耐腐304不锈钢管耐腐蚀要求：检测依据： QB/T 3826-1999《轻工产品金属镀层和化学处理层的耐腐蚀试验方法乙酸盐雾试验(NSS)法》、QB/T 3832-1999 (2009)《轻工产品金属镀层腐蚀试验结果的评价》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耐腐蚀：以样板测试面中心位置处面积 2.25 平方分米为考核面积，经过 480小时中性盐雾试验后，镀层的耐腐蚀等级≥8级。提供第三方机构（具有CMA资质的）出具的检测报告。配置：配备￠100mm万向静音轮，其中2只带刹车功能，脚轮材料为高强度聚氨酯，防静电、防毛发缠绕、移动轻便灵活</w:t>
            </w:r>
          </w:p>
        </w:tc>
      </w:tr>
      <w:tr w14:paraId="62A766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2C9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E7F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不锈钢推车（带护栏）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D15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900*550*850mm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D30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09B4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D4C4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7231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6500</w:t>
            </w:r>
          </w:p>
        </w:tc>
        <w:tc>
          <w:tcPr>
            <w:tcW w:w="11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B4FA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台面系统为双层防溢设计，带一体化冲压成型护栏，采用≥1.0mm加厚医用级304不锈钢板，表面经抗菌拉丝处理，坚固耐腐蚀，无缝易消毒。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主体承重框架由≥Φ25×1.2mm高强度304不锈钢管焊接而成，结构稳固，为设备在临床高强度使用中提供可靠支撑。配置：配备￠100mm万向静音轮，其中2只带刹车功能，脚轮材料为高强度聚氨酯，防静电、防毛发缠绕、移动轻便灵活。</w:t>
            </w:r>
          </w:p>
        </w:tc>
      </w:tr>
      <w:tr w14:paraId="02299D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247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AB3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不锈钢污物桶车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D55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450*450*860mm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236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D9C1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550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0ADF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9BD0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3850</w:t>
            </w:r>
          </w:p>
        </w:tc>
        <w:tc>
          <w:tcPr>
            <w:tcW w:w="11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9EC7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材质：车架主管为耐腐304不锈钢管≥￠19×1.0mm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配备医用级静音万向轮，推行顺畅，且带有一脚双刹式制动装置，确保移动灵活与驻停稳定。配置：配塑料污物桶、配备￠75mm万向静音轮，其中2只带刹车功能，脚轮材料为高强度聚氨酯，防静电、防毛发缠绕、移动轻便灵活</w:t>
            </w:r>
          </w:p>
        </w:tc>
      </w:tr>
      <w:tr w14:paraId="1FBF85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3EB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5460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252850</w:t>
            </w:r>
          </w:p>
        </w:tc>
        <w:tc>
          <w:tcPr>
            <w:tcW w:w="116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7A747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bookmarkEnd w:id="0"/>
    </w:tbl>
    <w:p w14:paraId="30289BCA">
      <w:pPr>
        <w:rPr>
          <w:rFonts w:hint="default"/>
          <w:lang w:val="en-US" w:eastAsia="zh-CN"/>
        </w:rPr>
      </w:pPr>
    </w:p>
    <w:sectPr>
      <w:footerReference r:id="rId3" w:type="default"/>
      <w:pgSz w:w="11906" w:h="16838"/>
      <w:pgMar w:top="1134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600000000000000"/>
    <w:charset w:val="86"/>
    <w:family w:val="auto"/>
    <w:pitch w:val="default"/>
    <w:sig w:usb0="00000000" w:usb1="00000000" w:usb2="00000012" w:usb3="00000000" w:csb0="0016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C6307D">
    <w:pPr>
      <w:pStyle w:val="1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92310">
                          <w:pPr>
                            <w:pStyle w:val="1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CA92310">
                    <w:pPr>
                      <w:pStyle w:val="1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32685A"/>
    <w:multiLevelType w:val="multilevel"/>
    <w:tmpl w:val="1F32685A"/>
    <w:lvl w:ilvl="0" w:tentative="0">
      <w:start w:val="1"/>
      <w:numFmt w:val="decimal"/>
      <w:pStyle w:val="28"/>
      <w:lvlText w:val="%1.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4E27A688"/>
    <w:multiLevelType w:val="multilevel"/>
    <w:tmpl w:val="4E27A688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842452"/>
    <w:rsid w:val="00B25E0C"/>
    <w:rsid w:val="01B513E5"/>
    <w:rsid w:val="02A53E07"/>
    <w:rsid w:val="04D82D0C"/>
    <w:rsid w:val="066045AF"/>
    <w:rsid w:val="08B1769A"/>
    <w:rsid w:val="09474D20"/>
    <w:rsid w:val="0B8F3DEA"/>
    <w:rsid w:val="0DD759F4"/>
    <w:rsid w:val="0E63197E"/>
    <w:rsid w:val="0E670397"/>
    <w:rsid w:val="0F047A89"/>
    <w:rsid w:val="0F37357E"/>
    <w:rsid w:val="103A04BC"/>
    <w:rsid w:val="10BA7ADB"/>
    <w:rsid w:val="11407D54"/>
    <w:rsid w:val="116740A1"/>
    <w:rsid w:val="12312715"/>
    <w:rsid w:val="12DB66FD"/>
    <w:rsid w:val="130F5C30"/>
    <w:rsid w:val="141F5781"/>
    <w:rsid w:val="152C0FBD"/>
    <w:rsid w:val="15DF08B8"/>
    <w:rsid w:val="162A53BE"/>
    <w:rsid w:val="18A1330D"/>
    <w:rsid w:val="18AF162F"/>
    <w:rsid w:val="19341070"/>
    <w:rsid w:val="1A3D6BB5"/>
    <w:rsid w:val="1BB74EEE"/>
    <w:rsid w:val="1C27081B"/>
    <w:rsid w:val="1C747071"/>
    <w:rsid w:val="1D532009"/>
    <w:rsid w:val="1E126711"/>
    <w:rsid w:val="1E965ADC"/>
    <w:rsid w:val="1F736570"/>
    <w:rsid w:val="1F97749C"/>
    <w:rsid w:val="1FBE772B"/>
    <w:rsid w:val="206C2341"/>
    <w:rsid w:val="21AC3DB3"/>
    <w:rsid w:val="221C5952"/>
    <w:rsid w:val="22F83EA3"/>
    <w:rsid w:val="251D54C7"/>
    <w:rsid w:val="25473410"/>
    <w:rsid w:val="264A07EB"/>
    <w:rsid w:val="27B468BB"/>
    <w:rsid w:val="28911F2D"/>
    <w:rsid w:val="28FB6912"/>
    <w:rsid w:val="293715E5"/>
    <w:rsid w:val="293E4730"/>
    <w:rsid w:val="29435826"/>
    <w:rsid w:val="2BC80D77"/>
    <w:rsid w:val="2BF11769"/>
    <w:rsid w:val="2C5D1363"/>
    <w:rsid w:val="2CF717B7"/>
    <w:rsid w:val="2D9D5991"/>
    <w:rsid w:val="2E1161C9"/>
    <w:rsid w:val="2FF574D3"/>
    <w:rsid w:val="302723B3"/>
    <w:rsid w:val="3165187F"/>
    <w:rsid w:val="321C52F6"/>
    <w:rsid w:val="33852335"/>
    <w:rsid w:val="33BF7284"/>
    <w:rsid w:val="34A664F8"/>
    <w:rsid w:val="34FD096D"/>
    <w:rsid w:val="3515301D"/>
    <w:rsid w:val="36ED530F"/>
    <w:rsid w:val="397A79F8"/>
    <w:rsid w:val="3AD35612"/>
    <w:rsid w:val="3C264863"/>
    <w:rsid w:val="3C6908E7"/>
    <w:rsid w:val="3CDF1E8E"/>
    <w:rsid w:val="3DCC1CEF"/>
    <w:rsid w:val="3DEE5B9F"/>
    <w:rsid w:val="3DF74328"/>
    <w:rsid w:val="3E637A73"/>
    <w:rsid w:val="3E9D5936"/>
    <w:rsid w:val="3EBE6087"/>
    <w:rsid w:val="40CE4C5A"/>
    <w:rsid w:val="40F3505F"/>
    <w:rsid w:val="41AE2E46"/>
    <w:rsid w:val="42C421E7"/>
    <w:rsid w:val="42F308B1"/>
    <w:rsid w:val="43CA7ECB"/>
    <w:rsid w:val="454951BB"/>
    <w:rsid w:val="45736390"/>
    <w:rsid w:val="457E74C5"/>
    <w:rsid w:val="469031CB"/>
    <w:rsid w:val="47173184"/>
    <w:rsid w:val="486E604D"/>
    <w:rsid w:val="491A0EBA"/>
    <w:rsid w:val="4A3C2F86"/>
    <w:rsid w:val="4A7B1CDE"/>
    <w:rsid w:val="4DB03590"/>
    <w:rsid w:val="52482D74"/>
    <w:rsid w:val="5692056C"/>
    <w:rsid w:val="57311572"/>
    <w:rsid w:val="57760F4E"/>
    <w:rsid w:val="5ABD1400"/>
    <w:rsid w:val="5B4869ED"/>
    <w:rsid w:val="5C0E0E83"/>
    <w:rsid w:val="5C966047"/>
    <w:rsid w:val="5D786D1A"/>
    <w:rsid w:val="5E2E4B05"/>
    <w:rsid w:val="5F545483"/>
    <w:rsid w:val="5FF367BA"/>
    <w:rsid w:val="614926D5"/>
    <w:rsid w:val="62451451"/>
    <w:rsid w:val="62E23157"/>
    <w:rsid w:val="634A17BF"/>
    <w:rsid w:val="637820DD"/>
    <w:rsid w:val="63C05E4E"/>
    <w:rsid w:val="64104F27"/>
    <w:rsid w:val="64842452"/>
    <w:rsid w:val="652135E5"/>
    <w:rsid w:val="666C6A4D"/>
    <w:rsid w:val="668110D4"/>
    <w:rsid w:val="67305A2B"/>
    <w:rsid w:val="67892A30"/>
    <w:rsid w:val="678C42CF"/>
    <w:rsid w:val="68F05856"/>
    <w:rsid w:val="69EC6364"/>
    <w:rsid w:val="6A40548C"/>
    <w:rsid w:val="6B126E3A"/>
    <w:rsid w:val="6B880FF7"/>
    <w:rsid w:val="6C6B28EF"/>
    <w:rsid w:val="6DFF6DF1"/>
    <w:rsid w:val="6FAA5C3A"/>
    <w:rsid w:val="753B7125"/>
    <w:rsid w:val="75B72D8C"/>
    <w:rsid w:val="768D2C66"/>
    <w:rsid w:val="772A798F"/>
    <w:rsid w:val="7A1F14AE"/>
    <w:rsid w:val="7A466372"/>
    <w:rsid w:val="7B6312FE"/>
    <w:rsid w:val="7C3C22F1"/>
    <w:rsid w:val="7C7B0A73"/>
    <w:rsid w:val="7CBD259D"/>
    <w:rsid w:val="7DFB58B2"/>
    <w:rsid w:val="7E5362E8"/>
    <w:rsid w:val="7FB2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24">
    <w:name w:val="Default Paragraph Font"/>
    <w:semiHidden/>
    <w:qFormat/>
    <w:uiPriority w:val="0"/>
  </w:style>
  <w:style w:type="table" w:default="1" w:styleId="2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 3"/>
    <w:basedOn w:val="1"/>
    <w:qFormat/>
    <w:uiPriority w:val="0"/>
    <w:pPr>
      <w:spacing w:after="120" w:line="240" w:lineRule="auto"/>
    </w:pPr>
    <w:rPr>
      <w:rFonts w:eastAsiaTheme="minorEastAsia"/>
      <w:kern w:val="0"/>
      <w:sz w:val="16"/>
      <w:szCs w:val="16"/>
    </w:rPr>
  </w:style>
  <w:style w:type="paragraph" w:styleId="12">
    <w:name w:val="Body Text"/>
    <w:basedOn w:val="1"/>
    <w:unhideWhenUsed/>
    <w:qFormat/>
    <w:uiPriority w:val="99"/>
    <w:pPr>
      <w:spacing w:after="120"/>
    </w:pPr>
  </w:style>
  <w:style w:type="paragraph" w:styleId="13">
    <w:name w:val="Plain Text"/>
    <w:basedOn w:val="1"/>
    <w:qFormat/>
    <w:uiPriority w:val="0"/>
    <w:rPr>
      <w:rFonts w:ascii="宋体" w:hAnsi="Courier New"/>
    </w:rPr>
  </w:style>
  <w:style w:type="paragraph" w:styleId="1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1"/>
  </w:style>
  <w:style w:type="paragraph" w:styleId="17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18">
    <w:name w:val="toc 6"/>
    <w:basedOn w:val="1"/>
    <w:next w:val="1"/>
    <w:unhideWhenUsed/>
    <w:qFormat/>
    <w:uiPriority w:val="39"/>
    <w:pPr>
      <w:spacing w:line="360" w:lineRule="auto"/>
      <w:ind w:left="1200"/>
      <w:jc w:val="left"/>
    </w:pPr>
    <w:rPr>
      <w:rFonts w:hAnsi="宋体" w:eastAsiaTheme="minorHAnsi"/>
      <w:sz w:val="18"/>
      <w:szCs w:val="18"/>
    </w:rPr>
  </w:style>
  <w:style w:type="paragraph" w:styleId="19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0">
    <w:name w:val="Normal (Web)"/>
    <w:basedOn w:val="1"/>
    <w:qFormat/>
    <w:uiPriority w:val="0"/>
    <w:rPr>
      <w:sz w:val="24"/>
    </w:rPr>
  </w:style>
  <w:style w:type="paragraph" w:styleId="21">
    <w:name w:val="Body Text First Indent"/>
    <w:basedOn w:val="12"/>
    <w:next w:val="18"/>
    <w:qFormat/>
    <w:uiPriority w:val="0"/>
    <w:pPr>
      <w:ind w:firstLine="420" w:firstLineChars="100"/>
    </w:pPr>
  </w:style>
  <w:style w:type="table" w:styleId="23">
    <w:name w:val="Table Grid"/>
    <w:basedOn w:val="22"/>
    <w:qFormat/>
    <w:uiPriority w:val="39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5">
    <w:name w:val="Strong"/>
    <w:basedOn w:val="24"/>
    <w:qFormat/>
    <w:uiPriority w:val="0"/>
    <w:rPr>
      <w:b/>
      <w:bCs/>
    </w:rPr>
  </w:style>
  <w:style w:type="paragraph" w:customStyle="1" w:styleId="26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7">
    <w:name w:val="No Spacing1"/>
    <w:basedOn w:val="1"/>
    <w:qFormat/>
    <w:uiPriority w:val="1"/>
    <w:pPr>
      <w:spacing w:line="400" w:lineRule="exact"/>
    </w:pPr>
    <w:rPr>
      <w:sz w:val="24"/>
    </w:rPr>
  </w:style>
  <w:style w:type="paragraph" w:customStyle="1" w:styleId="28">
    <w:name w:val="U_标题1"/>
    <w:basedOn w:val="2"/>
    <w:qFormat/>
    <w:uiPriority w:val="99"/>
    <w:pPr>
      <w:numPr>
        <w:ilvl w:val="0"/>
        <w:numId w:val="2"/>
      </w:numPr>
      <w:spacing w:before="30" w:beforeLines="30" w:after="30" w:afterLines="30" w:line="300" w:lineRule="auto"/>
    </w:pPr>
    <w:rPr>
      <w:rFonts w:eastAsia="黑体"/>
      <w:bCs w:val="0"/>
      <w:sz w:val="32"/>
      <w:szCs w:val="20"/>
    </w:rPr>
  </w:style>
  <w:style w:type="paragraph" w:customStyle="1" w:styleId="29">
    <w:name w:val="U_正文2"/>
    <w:basedOn w:val="1"/>
    <w:qFormat/>
    <w:uiPriority w:val="0"/>
    <w:pPr>
      <w:spacing w:before="10" w:beforeLines="10" w:after="10" w:afterLines="10" w:line="300" w:lineRule="auto"/>
    </w:pPr>
    <w:rPr>
      <w:sz w:val="24"/>
      <w:szCs w:val="20"/>
    </w:rPr>
  </w:style>
  <w:style w:type="paragraph" w:customStyle="1" w:styleId="30">
    <w:name w:val="U_正文"/>
    <w:basedOn w:val="1"/>
    <w:qFormat/>
    <w:uiPriority w:val="0"/>
    <w:pPr>
      <w:spacing w:before="20" w:beforeLines="20" w:after="20" w:afterLines="20" w:line="300" w:lineRule="auto"/>
      <w:ind w:firstLine="200" w:firstLineChars="200"/>
    </w:pPr>
    <w:rPr>
      <w:sz w:val="24"/>
      <w:szCs w:val="20"/>
    </w:rPr>
  </w:style>
  <w:style w:type="paragraph" w:customStyle="1" w:styleId="31">
    <w:name w:val="Table Paragraph"/>
    <w:basedOn w:val="1"/>
    <w:qFormat/>
    <w:uiPriority w:val="1"/>
    <w:rPr>
      <w:rFonts w:ascii="宋体" w:hAnsi="宋体" w:eastAsia="宋体" w:cs="宋体"/>
    </w:rPr>
  </w:style>
  <w:style w:type="character" w:customStyle="1" w:styleId="32">
    <w:name w:val="font31"/>
    <w:basedOn w:val="24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paragraph" w:styleId="33">
    <w:name w:val="List Paragraph"/>
    <w:basedOn w:val="1"/>
    <w:qFormat/>
    <w:uiPriority w:val="34"/>
    <w:pPr>
      <w:ind w:firstLine="420" w:firstLineChars="200"/>
    </w:pPr>
  </w:style>
  <w:style w:type="paragraph" w:customStyle="1" w:styleId="34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</w:rPr>
  </w:style>
  <w:style w:type="table" w:customStyle="1" w:styleId="3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6">
    <w:name w:val="标题4"/>
    <w:basedOn w:val="5"/>
    <w:qFormat/>
    <w:uiPriority w:val="0"/>
    <w:rPr>
      <w:rFonts w:ascii="Arial" w:hAnsi="Arial" w:eastAsia="黑体"/>
      <w:szCs w:val="20"/>
    </w:rPr>
  </w:style>
  <w:style w:type="table" w:customStyle="1" w:styleId="37">
    <w:name w:val="网格型6"/>
    <w:basedOn w:val="22"/>
    <w:qFormat/>
    <w:uiPriority w:val="0"/>
    <w:rPr>
      <w:rFonts w:ascii="Calibri" w:hAnsi="Calibri" w:eastAsia="Times New Roman" w:cs="Times New Roman"/>
      <w:kern w:val="2"/>
      <w:sz w:val="21"/>
      <w:szCs w:val="22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8">
    <w:name w:val="No Spacing"/>
    <w:qFormat/>
    <w:uiPriority w:val="1"/>
    <w:pPr>
      <w:widowControl w:val="0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paragraph" w:customStyle="1" w:styleId="39">
    <w:name w:val="正文1"/>
    <w:qFormat/>
    <w:uiPriority w:val="0"/>
    <w:pPr>
      <w:widowControl w:val="0"/>
      <w:suppressAutoHyphens w:val="0"/>
      <w:bidi w:val="0"/>
      <w:spacing w:beforeLines="0" w:afterLines="0"/>
      <w:jc w:val="both"/>
    </w:pPr>
    <w:rPr>
      <w:rFonts w:ascii="Calibri" w:hAnsi="Calibri" w:eastAsia="宋体" w:cs="Times New Roman"/>
      <w:color w:val="auto"/>
      <w:kern w:val="2"/>
      <w:sz w:val="21"/>
      <w:szCs w:val="22"/>
      <w:lang w:val="en-US" w:eastAsia="zh-CN" w:bidi="ar-SA"/>
    </w:rPr>
  </w:style>
  <w:style w:type="character" w:customStyle="1" w:styleId="40">
    <w:name w:val="font41"/>
    <w:basedOn w:val="2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41">
    <w:name w:val="font01"/>
    <w:basedOn w:val="24"/>
    <w:qFormat/>
    <w:uiPriority w:val="0"/>
    <w:rPr>
      <w:rFonts w:ascii="Calibri" w:hAnsi="Calibri" w:cs="Calibri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湖北有限公司</Company>
  <Pages>3</Pages>
  <Words>615</Words>
  <Characters>639</Characters>
  <Lines>0</Lines>
  <Paragraphs>0</Paragraphs>
  <TotalTime>0</TotalTime>
  <ScaleCrop>false</ScaleCrop>
  <LinksUpToDate>false</LinksUpToDate>
  <CharactersWithSpaces>640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2025-06-06T02:07:00Z</dcterms:created>
  <dc:creator>阿</dc:creator>
  <cp:lastModifiedBy>two cents</cp:lastModifiedBy>
  <cp:lastPrinted>2025-11-03T01:16:00Z</cp:lastPrinted>
  <dcterms:modified xsi:type="dcterms:W3CDTF">2026-10-09T00:22:09Z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4644CC96BE614FCB889687724A518B0B_13</vt:lpwstr>
  </property>
  <property fmtid="{D5CDD505-2E9C-101B-9397-08002B2CF9AE}" pid="4" name="KSOTemplateDocerSaveRecord">
    <vt:lpwstr>eyJoZGlkIjoiZDIzOWY4NWQzNmIzMjI2YTU4M2FmNWJiYjExYzhjYWYiLCJ1c2VySWQiOiI1MDk3ODY1ODcifQ==</vt:lpwstr>
  </property>
</Properties>
</file>