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3A974">
      <w:pPr>
        <w:numPr>
          <w:ilvl w:val="0"/>
          <w:numId w:val="3"/>
        </w:numPr>
        <w:jc w:val="left"/>
        <w:rPr>
          <w:rFonts w:hint="eastAsia" w:ascii="宋体" w:hAnsi="宋体" w:eastAsia="宋体" w:cs="宋体"/>
          <w:sz w:val="28"/>
          <w:szCs w:val="28"/>
        </w:rPr>
      </w:pPr>
      <w:r>
        <w:rPr>
          <w:rFonts w:hint="eastAsia" w:ascii="宋体" w:hAnsi="宋体" w:eastAsia="宋体" w:cs="宋体"/>
          <w:sz w:val="28"/>
          <w:szCs w:val="28"/>
        </w:rPr>
        <w:t>项目名称：天门市第一人民医院汇侨院区手术室净化工程及装修设计施工总承包项目</w:t>
      </w:r>
      <w:r>
        <w:rPr>
          <w:rFonts w:hint="eastAsia" w:ascii="宋体" w:hAnsi="宋体" w:eastAsia="宋体" w:cs="宋体"/>
          <w:sz w:val="28"/>
          <w:szCs w:val="28"/>
          <w:lang w:val="en-US" w:eastAsia="zh-CN"/>
        </w:rPr>
        <w:t>结算审计服务</w:t>
      </w:r>
    </w:p>
    <w:p w14:paraId="38A4916F">
      <w:pPr>
        <w:numPr>
          <w:ilvl w:val="0"/>
          <w:numId w:val="3"/>
        </w:numPr>
        <w:jc w:val="left"/>
        <w:rPr>
          <w:rFonts w:hint="eastAsia" w:ascii="宋体" w:hAnsi="宋体" w:eastAsia="宋体" w:cs="宋体"/>
          <w:sz w:val="28"/>
          <w:szCs w:val="28"/>
        </w:rPr>
      </w:pPr>
      <w:r>
        <w:rPr>
          <w:rFonts w:hint="eastAsia" w:ascii="宋体" w:hAnsi="宋体" w:eastAsia="宋体" w:cs="宋体"/>
          <w:sz w:val="28"/>
          <w:szCs w:val="28"/>
        </w:rPr>
        <w:t>项目概况：本项目为医院汇侨院区手术室专项装饰装修工程，地址</w:t>
      </w:r>
      <w:r>
        <w:rPr>
          <w:rFonts w:hint="eastAsia" w:ascii="宋体" w:hAnsi="宋体" w:eastAsia="宋体" w:cs="宋体"/>
          <w:sz w:val="28"/>
          <w:szCs w:val="28"/>
          <w:lang w:val="en-US" w:eastAsia="zh-CN"/>
        </w:rPr>
        <w:t>位于</w:t>
      </w:r>
      <w:r>
        <w:rPr>
          <w:rFonts w:hint="eastAsia" w:ascii="宋体" w:hAnsi="宋体" w:eastAsia="宋体" w:cs="宋体"/>
          <w:sz w:val="28"/>
          <w:szCs w:val="28"/>
        </w:rPr>
        <w:t>天门市状元路与汇侨大道交叉口处，南临汇侨大道，东临状元路，北临河山支渠</w:t>
      </w:r>
      <w:r>
        <w:rPr>
          <w:rFonts w:hint="eastAsia" w:ascii="宋体" w:hAnsi="宋体" w:eastAsia="宋体" w:cs="宋体"/>
          <w:sz w:val="28"/>
          <w:szCs w:val="28"/>
          <w:lang w:eastAsia="zh-CN"/>
        </w:rPr>
        <w:t>；</w:t>
      </w:r>
      <w:r>
        <w:rPr>
          <w:rFonts w:hint="eastAsia" w:ascii="宋体" w:hAnsi="宋体" w:eastAsia="宋体" w:cs="宋体"/>
          <w:sz w:val="28"/>
          <w:szCs w:val="28"/>
        </w:rPr>
        <w:t>主要建设内容为在汇侨院区医技楼第五层手术室净化工程及装修设计施工，涉及土建、消防、空调、水电等</w:t>
      </w:r>
      <w:r>
        <w:rPr>
          <w:rFonts w:hint="eastAsia" w:ascii="宋体" w:hAnsi="宋体" w:eastAsia="宋体" w:cs="宋体"/>
          <w:sz w:val="28"/>
          <w:szCs w:val="28"/>
          <w:lang w:eastAsia="zh-CN"/>
        </w:rPr>
        <w:t>，施工面积8108㎡，送审金额约4000万元</w:t>
      </w:r>
      <w:r>
        <w:rPr>
          <w:rFonts w:hint="eastAsia" w:ascii="宋体" w:hAnsi="宋体" w:eastAsia="宋体" w:cs="宋体"/>
          <w:sz w:val="28"/>
          <w:szCs w:val="28"/>
        </w:rPr>
        <w:t>。</w:t>
      </w:r>
    </w:p>
    <w:p w14:paraId="5CFF96DC">
      <w:pPr>
        <w:numPr>
          <w:ilvl w:val="0"/>
          <w:numId w:val="3"/>
        </w:numPr>
        <w:jc w:val="left"/>
        <w:rPr>
          <w:rFonts w:hint="eastAsia" w:ascii="宋体" w:hAnsi="宋体" w:eastAsia="宋体" w:cs="宋体"/>
          <w:sz w:val="28"/>
          <w:szCs w:val="28"/>
        </w:rPr>
      </w:pPr>
      <w:r>
        <w:rPr>
          <w:rFonts w:hint="eastAsia" w:ascii="宋体" w:hAnsi="宋体" w:eastAsia="宋体" w:cs="宋体"/>
          <w:sz w:val="28"/>
          <w:szCs w:val="28"/>
        </w:rPr>
        <w:t>采购预算（最高限价）：人民币</w:t>
      </w:r>
      <w:r>
        <w:rPr>
          <w:rFonts w:hint="eastAsia" w:ascii="宋体" w:hAnsi="宋体" w:eastAsia="宋体" w:cs="宋体"/>
          <w:sz w:val="28"/>
          <w:szCs w:val="28"/>
          <w:lang w:val="en-US" w:eastAsia="zh-CN"/>
        </w:rPr>
        <w:t>24</w:t>
      </w:r>
      <w:r>
        <w:rPr>
          <w:rFonts w:hint="eastAsia" w:ascii="宋体" w:hAnsi="宋体" w:eastAsia="宋体" w:cs="宋体"/>
          <w:sz w:val="28"/>
          <w:szCs w:val="28"/>
        </w:rPr>
        <w:t>万元（大写：</w:t>
      </w:r>
      <w:r>
        <w:rPr>
          <w:rFonts w:hint="eastAsia" w:ascii="宋体" w:hAnsi="宋体" w:eastAsia="宋体" w:cs="宋体"/>
          <w:sz w:val="28"/>
          <w:szCs w:val="28"/>
          <w:lang w:val="en-US" w:eastAsia="zh-CN"/>
        </w:rPr>
        <w:t>贰</w:t>
      </w:r>
      <w:r>
        <w:rPr>
          <w:rFonts w:hint="eastAsia" w:ascii="宋体" w:hAnsi="宋体" w:eastAsia="宋体" w:cs="宋体"/>
          <w:sz w:val="28"/>
          <w:szCs w:val="28"/>
        </w:rPr>
        <w:t>拾</w:t>
      </w:r>
      <w:r>
        <w:rPr>
          <w:rFonts w:hint="eastAsia" w:ascii="宋体" w:hAnsi="宋体" w:eastAsia="宋体" w:cs="宋体"/>
          <w:sz w:val="28"/>
          <w:szCs w:val="28"/>
          <w:lang w:val="en-US" w:eastAsia="zh-CN"/>
        </w:rPr>
        <w:t>肆</w:t>
      </w:r>
      <w:r>
        <w:rPr>
          <w:rFonts w:hint="eastAsia" w:ascii="宋体" w:hAnsi="宋体" w:eastAsia="宋体" w:cs="宋体"/>
          <w:sz w:val="28"/>
          <w:szCs w:val="28"/>
        </w:rPr>
        <w:t>万元整），投标报价不得超出最高限价，否则作无效投标处理。</w:t>
      </w:r>
    </w:p>
    <w:p w14:paraId="40646C10">
      <w:pPr>
        <w:numPr>
          <w:ilvl w:val="0"/>
          <w:numId w:val="3"/>
        </w:numPr>
        <w:jc w:val="left"/>
        <w:rPr>
          <w:rFonts w:hint="eastAsia" w:ascii="宋体" w:hAnsi="宋体" w:eastAsia="宋体" w:cs="宋体"/>
          <w:sz w:val="28"/>
          <w:szCs w:val="28"/>
        </w:rPr>
      </w:pPr>
      <w:r>
        <w:rPr>
          <w:rFonts w:hint="eastAsia" w:ascii="宋体" w:hAnsi="宋体" w:eastAsia="宋体" w:cs="宋体"/>
          <w:sz w:val="28"/>
          <w:szCs w:val="28"/>
        </w:rPr>
        <w:t>服务周期：自</w:t>
      </w:r>
      <w:r>
        <w:rPr>
          <w:rFonts w:hint="eastAsia" w:asciiTheme="minorEastAsia" w:hAnsiTheme="minorEastAsia" w:eastAsiaTheme="minorEastAsia" w:cstheme="minorEastAsia"/>
          <w:color w:val="000000"/>
          <w:kern w:val="0"/>
          <w:sz w:val="28"/>
          <w:szCs w:val="28"/>
          <w:lang w:val="en-US" w:eastAsia="zh-CN" w:bidi="ar"/>
        </w:rPr>
        <w:t>合同签订之日起</w:t>
      </w:r>
      <w:r>
        <w:rPr>
          <w:rFonts w:hint="eastAsia" w:ascii="宋体" w:hAnsi="宋体" w:eastAsia="宋体" w:cs="宋体"/>
          <w:sz w:val="28"/>
          <w:szCs w:val="28"/>
        </w:rPr>
        <w:t>，至</w:t>
      </w:r>
      <w:r>
        <w:rPr>
          <w:rFonts w:hint="eastAsia" w:ascii="宋体" w:hAnsi="宋体" w:eastAsia="宋体" w:cs="宋体"/>
          <w:sz w:val="28"/>
          <w:szCs w:val="28"/>
          <w:lang w:val="en-US" w:eastAsia="zh-CN"/>
        </w:rPr>
        <w:t>出具结算审计报告</w:t>
      </w:r>
      <w:r>
        <w:rPr>
          <w:rFonts w:hint="eastAsia" w:ascii="宋体" w:hAnsi="宋体" w:eastAsia="宋体" w:cs="宋体"/>
          <w:sz w:val="28"/>
          <w:szCs w:val="28"/>
        </w:rPr>
        <w:t>为止。</w:t>
      </w:r>
    </w:p>
    <w:p w14:paraId="06047663">
      <w:pPr>
        <w:numPr>
          <w:ilvl w:val="0"/>
          <w:numId w:val="3"/>
        </w:numPr>
        <w:jc w:val="left"/>
        <w:rPr>
          <w:rFonts w:hint="eastAsia" w:ascii="宋体" w:hAnsi="宋体" w:eastAsia="宋体" w:cs="宋体"/>
          <w:sz w:val="28"/>
          <w:szCs w:val="28"/>
        </w:rPr>
      </w:pPr>
      <w:r>
        <w:rPr>
          <w:rFonts w:hint="eastAsia" w:ascii="宋体" w:hAnsi="宋体" w:eastAsia="宋体" w:cs="宋体"/>
          <w:sz w:val="28"/>
          <w:szCs w:val="28"/>
        </w:rPr>
        <w:t>资金来源：自筹资金与</w:t>
      </w:r>
      <w:r>
        <w:rPr>
          <w:rFonts w:hint="eastAsia" w:ascii="宋体" w:hAnsi="宋体" w:eastAsia="宋体" w:cs="宋体"/>
          <w:sz w:val="28"/>
          <w:szCs w:val="28"/>
          <w:lang w:eastAsia="zh-CN"/>
        </w:rPr>
        <w:t>专项债券资金</w:t>
      </w:r>
      <w:r>
        <w:rPr>
          <w:rFonts w:hint="eastAsia" w:ascii="宋体" w:hAnsi="宋体" w:eastAsia="宋体" w:cs="宋体"/>
          <w:sz w:val="28"/>
          <w:szCs w:val="28"/>
        </w:rPr>
        <w:t>，资金已落实</w:t>
      </w:r>
      <w:r>
        <w:rPr>
          <w:rFonts w:hint="eastAsia" w:ascii="宋体" w:hAnsi="宋体" w:eastAsia="宋体" w:cs="宋体"/>
          <w:sz w:val="28"/>
          <w:szCs w:val="28"/>
          <w:lang w:eastAsia="zh-CN"/>
        </w:rPr>
        <w:t>。</w:t>
      </w:r>
    </w:p>
    <w:p w14:paraId="5B1B0840">
      <w:pPr>
        <w:numPr>
          <w:ilvl w:val="0"/>
          <w:numId w:val="0"/>
        </w:numPr>
        <w:jc w:val="left"/>
        <w:rPr>
          <w:rFonts w:hint="eastAsia" w:ascii="宋体" w:hAnsi="宋体" w:eastAsia="宋体" w:cs="宋体"/>
          <w:sz w:val="28"/>
          <w:szCs w:val="28"/>
        </w:rPr>
      </w:pPr>
      <w:r>
        <w:rPr>
          <w:rFonts w:hint="eastAsia" w:ascii="宋体" w:hAnsi="宋体" w:eastAsia="宋体" w:cs="宋体"/>
          <w:sz w:val="28"/>
          <w:szCs w:val="28"/>
        </w:rPr>
        <w:t>二、招标服务范围及内容</w:t>
      </w:r>
    </w:p>
    <w:p w14:paraId="75F01E65">
      <w:pPr>
        <w:keepNext w:val="0"/>
        <w:keepLines w:val="0"/>
        <w:widowControl/>
        <w:suppressLineNumbers w:val="0"/>
        <w:ind w:firstLine="560" w:firstLineChars="200"/>
        <w:jc w:val="left"/>
        <w:rPr>
          <w:rFonts w:hint="eastAsia" w:ascii="宋体" w:hAnsi="宋体" w:eastAsia="宋体" w:cs="宋体"/>
          <w:sz w:val="28"/>
          <w:szCs w:val="28"/>
        </w:rPr>
      </w:pPr>
      <w:r>
        <w:rPr>
          <w:rFonts w:hint="eastAsia" w:ascii="宋体" w:hAnsi="宋体" w:eastAsia="宋体" w:cs="宋体"/>
          <w:sz w:val="28"/>
          <w:szCs w:val="28"/>
        </w:rPr>
        <w:t>本次招标范围为</w:t>
      </w:r>
      <w:r>
        <w:rPr>
          <w:rFonts w:hint="eastAsia" w:asciiTheme="minorEastAsia" w:hAnsiTheme="minorEastAsia" w:eastAsiaTheme="minorEastAsia" w:cstheme="minorEastAsia"/>
          <w:color w:val="000000"/>
          <w:kern w:val="0"/>
          <w:sz w:val="28"/>
          <w:szCs w:val="28"/>
          <w:lang w:val="en-US" w:eastAsia="zh-CN" w:bidi="ar"/>
        </w:rPr>
        <w:t>根据建设单位送审结算书，按工程量清单计价规范的要求编制工程结算审计咨询报告，出具相应的咨询成果文件</w:t>
      </w:r>
      <w:r>
        <w:rPr>
          <w:rFonts w:hint="eastAsia" w:asciiTheme="minorEastAsia" w:hAnsiTheme="minorEastAsia" w:cstheme="minorEastAsia"/>
          <w:color w:val="000000"/>
          <w:kern w:val="0"/>
          <w:sz w:val="28"/>
          <w:szCs w:val="28"/>
          <w:lang w:val="en-US" w:eastAsia="zh-CN" w:bidi="ar"/>
        </w:rPr>
        <w:t>；</w:t>
      </w:r>
      <w:r>
        <w:rPr>
          <w:rFonts w:hint="eastAsia" w:ascii="宋体" w:hAnsi="宋体" w:eastAsia="宋体" w:cs="宋体"/>
          <w:sz w:val="28"/>
          <w:szCs w:val="28"/>
        </w:rPr>
        <w:t>严格按照国家、省市现行工程建设法律法规、工程建设标准、设计文件及施工合同要求开展</w:t>
      </w:r>
      <w:r>
        <w:rPr>
          <w:rFonts w:hint="eastAsia" w:ascii="宋体" w:hAnsi="宋体" w:eastAsia="宋体" w:cs="宋体"/>
          <w:sz w:val="28"/>
          <w:szCs w:val="28"/>
          <w:lang w:val="en-US" w:eastAsia="zh-CN"/>
        </w:rPr>
        <w:t>造价咨询</w:t>
      </w:r>
      <w:r>
        <w:rPr>
          <w:rFonts w:hint="eastAsia" w:ascii="宋体" w:hAnsi="宋体" w:eastAsia="宋体" w:cs="宋体"/>
          <w:sz w:val="28"/>
          <w:szCs w:val="28"/>
        </w:rPr>
        <w:t>工作，具体内容包括：</w:t>
      </w:r>
    </w:p>
    <w:p w14:paraId="4CB3C675">
      <w:pPr>
        <w:numPr>
          <w:ilvl w:val="0"/>
          <w:numId w:val="4"/>
        </w:numPr>
        <w:jc w:val="left"/>
        <w:rPr>
          <w:rFonts w:hint="eastAsia" w:ascii="宋体" w:hAnsi="宋体" w:eastAsia="宋体" w:cs="宋体"/>
          <w:sz w:val="28"/>
          <w:szCs w:val="28"/>
        </w:rPr>
      </w:pPr>
      <w:r>
        <w:rPr>
          <w:rFonts w:hint="eastAsia" w:ascii="宋体" w:hAnsi="宋体" w:eastAsia="宋体" w:cs="宋体"/>
          <w:sz w:val="28"/>
          <w:szCs w:val="28"/>
        </w:rPr>
        <w:t>严格按照《中华人民共和国审计法》等相关法律法规、规范的要求实施审计行为，保守秘密，不得将审计结果用于无关的审计项目和目的，不得隐瞒审计发现的问题，不得有舞弊行为。对受托范围的审计事项发表审计意见，承担相应的法律责任。</w:t>
      </w:r>
    </w:p>
    <w:p w14:paraId="2A95A01A">
      <w:pPr>
        <w:numPr>
          <w:ilvl w:val="0"/>
          <w:numId w:val="4"/>
        </w:numPr>
        <w:jc w:val="left"/>
        <w:rPr>
          <w:rFonts w:hint="eastAsia" w:ascii="宋体" w:hAnsi="宋体" w:eastAsia="宋体" w:cs="宋体"/>
          <w:sz w:val="28"/>
          <w:szCs w:val="28"/>
        </w:rPr>
      </w:pPr>
      <w:r>
        <w:rPr>
          <w:rFonts w:hint="eastAsia" w:ascii="宋体" w:hAnsi="宋体" w:eastAsia="宋体"/>
          <w:sz w:val="28"/>
          <w:szCs w:val="28"/>
          <w:lang w:val="en-US" w:eastAsia="zh-CN"/>
        </w:rPr>
        <w:t>配合甲方完成该项目审计实施方案制定的审计目标、审计范围、审计内容和重点。</w:t>
      </w:r>
    </w:p>
    <w:p w14:paraId="4139865E">
      <w:pPr>
        <w:numPr>
          <w:ilvl w:val="0"/>
          <w:numId w:val="4"/>
        </w:numPr>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后续若发生工程造价方面问题纠纷或法律诉讼的，须配合甲方做好解释答复或应诉等事宜。</w:t>
      </w:r>
    </w:p>
    <w:p w14:paraId="5D77B5CE">
      <w:pPr>
        <w:numPr>
          <w:ilvl w:val="0"/>
          <w:numId w:val="4"/>
        </w:numPr>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供应商保证在开展审核业务时，应当严格遵守国家和地方有关法律法规和采购人的内部规章制度，按照采购人规定的业务范围、内容和程序实施审核</w:t>
      </w:r>
      <w:r>
        <w:rPr>
          <w:rFonts w:hint="eastAsia" w:asciiTheme="minorEastAsia" w:hAnsiTheme="minorEastAsia" w:cstheme="minorEastAsia"/>
          <w:sz w:val="28"/>
          <w:szCs w:val="28"/>
          <w:lang w:val="en-US" w:eastAsia="zh-CN"/>
        </w:rPr>
        <w:t>工作。</w:t>
      </w:r>
    </w:p>
    <w:p w14:paraId="01B58B69">
      <w:pPr>
        <w:numPr>
          <w:ilvl w:val="0"/>
          <w:numId w:val="4"/>
        </w:numPr>
        <w:jc w:val="left"/>
        <w:rPr>
          <w:rFonts w:hint="eastAsia" w:ascii="宋体" w:hAnsi="宋体" w:eastAsia="宋体" w:cs="宋体"/>
          <w:sz w:val="28"/>
          <w:szCs w:val="28"/>
        </w:rPr>
      </w:pPr>
      <w:r>
        <w:rPr>
          <w:rFonts w:hint="eastAsia" w:ascii="宋体" w:hAnsi="宋体" w:eastAsia="宋体" w:cs="宋体"/>
          <w:sz w:val="28"/>
          <w:szCs w:val="28"/>
        </w:rPr>
        <w:t>如实向采购人反映审计发现的问题，提出意见和建议。</w:t>
      </w:r>
    </w:p>
    <w:p w14:paraId="68A482FC">
      <w:pPr>
        <w:numPr>
          <w:ilvl w:val="0"/>
          <w:numId w:val="4"/>
        </w:numPr>
        <w:jc w:val="left"/>
        <w:rPr>
          <w:rFonts w:hint="eastAsia" w:ascii="宋体" w:hAnsi="宋体" w:eastAsia="宋体" w:cs="宋体"/>
          <w:sz w:val="28"/>
          <w:szCs w:val="28"/>
        </w:rPr>
      </w:pPr>
      <w:r>
        <w:rPr>
          <w:rFonts w:hint="eastAsia" w:ascii="宋体" w:hAnsi="宋体" w:eastAsia="宋体" w:cs="宋体"/>
          <w:sz w:val="28"/>
          <w:szCs w:val="28"/>
        </w:rPr>
        <w:t>按时、按要求、保质完成审计项目，出具</w:t>
      </w:r>
      <w:r>
        <w:rPr>
          <w:rFonts w:hint="eastAsia" w:ascii="宋体" w:hAnsi="宋体" w:eastAsia="宋体"/>
          <w:sz w:val="28"/>
          <w:szCs w:val="36"/>
        </w:rPr>
        <w:t>真实、合法、公正的</w:t>
      </w:r>
      <w:r>
        <w:rPr>
          <w:rFonts w:hint="eastAsia" w:ascii="宋体" w:hAnsi="宋体" w:eastAsia="宋体" w:cs="宋体"/>
          <w:sz w:val="28"/>
          <w:szCs w:val="28"/>
        </w:rPr>
        <w:t>结算审核报告。</w:t>
      </w:r>
    </w:p>
    <w:p w14:paraId="218278B6">
      <w:pPr>
        <w:numPr>
          <w:ilvl w:val="0"/>
          <w:numId w:val="4"/>
        </w:numPr>
        <w:jc w:val="left"/>
        <w:rPr>
          <w:rFonts w:hint="eastAsia" w:ascii="宋体" w:hAnsi="宋体" w:eastAsia="宋体" w:cs="宋体"/>
          <w:sz w:val="28"/>
          <w:szCs w:val="28"/>
        </w:rPr>
      </w:pPr>
      <w:r>
        <w:rPr>
          <w:rFonts w:hint="eastAsia" w:ascii="宋体" w:hAnsi="宋体" w:eastAsia="宋体" w:cs="宋体"/>
          <w:sz w:val="28"/>
          <w:szCs w:val="28"/>
        </w:rPr>
        <w:t>应当遵守《审计机关审计人员职业道德准则》的规定和工程造价咨询服务廉洁协议书内容，如有违反，根据情节轻重，由采购人依据有关协议约定，采取通报批评、扣减审计费用、终止参与政府投资审计资格等方式进行处理。构成犯罪的，移交司法机关追究刑事责任。</w:t>
      </w:r>
    </w:p>
    <w:p w14:paraId="50D78598">
      <w:pPr>
        <w:numPr>
          <w:ilvl w:val="0"/>
          <w:numId w:val="4"/>
        </w:numPr>
        <w:jc w:val="left"/>
        <w:rPr>
          <w:rFonts w:hint="eastAsia" w:ascii="宋体" w:hAnsi="宋体" w:eastAsia="宋体" w:cs="宋体"/>
          <w:sz w:val="28"/>
          <w:szCs w:val="28"/>
        </w:rPr>
      </w:pPr>
      <w:r>
        <w:rPr>
          <w:rFonts w:hint="eastAsia" w:ascii="宋体" w:hAnsi="宋体" w:eastAsia="宋体" w:cs="宋体"/>
          <w:sz w:val="28"/>
          <w:szCs w:val="28"/>
        </w:rPr>
        <w:t>完成采购人要求的与本审计项目有关的其他工作。</w:t>
      </w:r>
    </w:p>
    <w:p w14:paraId="6EF639AC">
      <w:pPr>
        <w:numPr>
          <w:ilvl w:val="0"/>
          <w:numId w:val="0"/>
        </w:numPr>
        <w:jc w:val="left"/>
        <w:rPr>
          <w:rFonts w:hint="eastAsia" w:ascii="宋体" w:hAnsi="宋体" w:eastAsia="宋体" w:cs="宋体"/>
          <w:sz w:val="28"/>
          <w:szCs w:val="28"/>
        </w:rPr>
      </w:pPr>
      <w:r>
        <w:rPr>
          <w:rFonts w:hint="eastAsia" w:ascii="宋体" w:hAnsi="宋体" w:eastAsia="宋体" w:cs="宋体"/>
          <w:sz w:val="28"/>
          <w:szCs w:val="28"/>
        </w:rPr>
        <w:t>三、投标人资格要求</w:t>
      </w:r>
    </w:p>
    <w:p w14:paraId="23853F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8"/>
          <w:szCs w:val="28"/>
        </w:rPr>
      </w:pPr>
      <w:r>
        <w:rPr>
          <w:rFonts w:hint="eastAsia" w:ascii="宋体" w:hAnsi="宋体" w:eastAsia="宋体" w:cs="宋体"/>
          <w:sz w:val="28"/>
          <w:szCs w:val="28"/>
          <w:lang w:val="en-US" w:eastAsia="zh-CN"/>
        </w:rPr>
        <w:t>1.</w:t>
      </w:r>
      <w:r>
        <w:rPr>
          <w:rFonts w:hint="eastAsia" w:asciiTheme="minorEastAsia" w:hAnsiTheme="minorEastAsia" w:eastAsiaTheme="minorEastAsia" w:cstheme="minorEastAsia"/>
          <w:sz w:val="28"/>
          <w:szCs w:val="28"/>
        </w:rPr>
        <w:t>满足《中华人民共和国政府采购法》第二十二条规定，即：</w:t>
      </w:r>
    </w:p>
    <w:p w14:paraId="6E69E175">
      <w:pPr>
        <w:pStyle w:val="3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（1）</w:t>
      </w:r>
      <w:r>
        <w:rPr>
          <w:rFonts w:hint="eastAsia" w:asciiTheme="minorEastAsia" w:hAnsiTheme="minorEastAsia" w:eastAsiaTheme="minorEastAsia" w:cstheme="minorEastAsia"/>
          <w:sz w:val="28"/>
          <w:szCs w:val="28"/>
        </w:rPr>
        <w:t>具有独立承担民事责任的能力；</w:t>
      </w:r>
    </w:p>
    <w:p w14:paraId="1C0B1FF3">
      <w:pPr>
        <w:pStyle w:val="3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（2）</w:t>
      </w:r>
      <w:r>
        <w:rPr>
          <w:rFonts w:hint="eastAsia" w:asciiTheme="minorEastAsia" w:hAnsiTheme="minorEastAsia" w:eastAsiaTheme="minorEastAsia" w:cstheme="minorEastAsia"/>
          <w:sz w:val="28"/>
          <w:szCs w:val="28"/>
        </w:rPr>
        <w:t>具有良好的商业信誉和健全的财务会计制度；</w:t>
      </w:r>
    </w:p>
    <w:p w14:paraId="686002F3">
      <w:pPr>
        <w:pStyle w:val="3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（3）</w:t>
      </w:r>
      <w:r>
        <w:rPr>
          <w:rFonts w:hint="eastAsia" w:asciiTheme="minorEastAsia" w:hAnsiTheme="minorEastAsia" w:eastAsiaTheme="minorEastAsia" w:cstheme="minorEastAsia"/>
          <w:sz w:val="28"/>
          <w:szCs w:val="28"/>
        </w:rPr>
        <w:t>具有履行合同所必需的设备和专业技术能力；</w:t>
      </w:r>
    </w:p>
    <w:p w14:paraId="426E48AE">
      <w:pPr>
        <w:pStyle w:val="3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（4）</w:t>
      </w:r>
      <w:r>
        <w:rPr>
          <w:rFonts w:hint="eastAsia" w:asciiTheme="minorEastAsia" w:hAnsiTheme="minorEastAsia" w:eastAsiaTheme="minorEastAsia" w:cstheme="minorEastAsia"/>
          <w:sz w:val="28"/>
          <w:szCs w:val="28"/>
        </w:rPr>
        <w:t>有依法缴纳税收和社会保障资金的良好记录；</w:t>
      </w:r>
    </w:p>
    <w:p w14:paraId="39AFBDF5">
      <w:pPr>
        <w:pStyle w:val="34"/>
        <w:keepNext w:val="0"/>
        <w:keepLines w:val="0"/>
        <w:pageBreakBefore w:val="0"/>
        <w:widowControl w:val="0"/>
        <w:numPr>
          <w:ilvl w:val="0"/>
          <w:numId w:val="0"/>
        </w:numPr>
        <w:kinsoku/>
        <w:wordWrap/>
        <w:overflowPunct/>
        <w:topLinePunct w:val="0"/>
        <w:autoSpaceDE/>
        <w:autoSpaceDN/>
        <w:bidi w:val="0"/>
        <w:adjustRightInd/>
        <w:snapToGrid/>
        <w:spacing w:line="360" w:lineRule="auto"/>
        <w:ind w:left="1399" w:leftChars="266" w:hanging="840" w:hanging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（5）</w:t>
      </w:r>
      <w:r>
        <w:rPr>
          <w:rFonts w:hint="eastAsia" w:asciiTheme="minorEastAsia" w:hAnsiTheme="minorEastAsia" w:eastAsiaTheme="minorEastAsia" w:cstheme="minorEastAsia"/>
          <w:sz w:val="28"/>
          <w:szCs w:val="28"/>
        </w:rPr>
        <w:t>参加政府采购活动前三年内，在经营活动中没有重大违</w:t>
      </w:r>
      <w:r>
        <w:rPr>
          <w:rFonts w:hint="eastAsia" w:asciiTheme="minorEastAsia" w:hAnsiTheme="minorEastAsia" w:cstheme="minorEastAsia"/>
          <w:sz w:val="28"/>
          <w:szCs w:val="28"/>
          <w:lang w:val="en-US" w:eastAsia="zh-CN"/>
        </w:rPr>
        <w:t>法</w:t>
      </w:r>
      <w:r>
        <w:rPr>
          <w:rFonts w:hint="eastAsia" w:asciiTheme="minorEastAsia" w:hAnsiTheme="minorEastAsia" w:eastAsiaTheme="minorEastAsia" w:cstheme="minorEastAsia"/>
          <w:sz w:val="28"/>
          <w:szCs w:val="28"/>
        </w:rPr>
        <w:t>记录；</w:t>
      </w:r>
    </w:p>
    <w:p w14:paraId="672E09C4">
      <w:pPr>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（6）</w:t>
      </w:r>
      <w:r>
        <w:rPr>
          <w:rFonts w:hint="eastAsia" w:asciiTheme="minorEastAsia" w:hAnsiTheme="minorEastAsia" w:eastAsiaTheme="minorEastAsia" w:cstheme="minorEastAsia"/>
          <w:sz w:val="28"/>
          <w:szCs w:val="28"/>
        </w:rPr>
        <w:t>法律、行政法规规定的其他条件</w:t>
      </w:r>
    </w:p>
    <w:p w14:paraId="06531BFC">
      <w:pPr>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主体资格：投标人须为在中华人民共和国境内依法注册，具有独立法人资格，能够独立承担民事责任的企业单位，具备有效的营业执照</w:t>
      </w:r>
      <w:r>
        <w:rPr>
          <w:rFonts w:hint="eastAsia" w:ascii="宋体" w:hAnsi="宋体" w:eastAsia="宋体" w:cs="宋体"/>
          <w:sz w:val="28"/>
          <w:szCs w:val="28"/>
          <w:lang w:eastAsia="zh-CN"/>
        </w:rPr>
        <w:t>。</w:t>
      </w:r>
    </w:p>
    <w:p w14:paraId="26DBCA41">
      <w:pPr>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人员要求：</w:t>
      </w:r>
      <w:r>
        <w:rPr>
          <w:rFonts w:hint="eastAsia"/>
          <w:sz w:val="28"/>
          <w:szCs w:val="28"/>
          <w:lang w:val="en-US" w:eastAsia="zh-CN"/>
        </w:rPr>
        <w:t>拟派项目的负责人，须具备一级注册造价师资格证书。其他人员具备二级或二级以上造价师资格证书</w:t>
      </w:r>
      <w:r>
        <w:rPr>
          <w:rFonts w:hint="eastAsia" w:ascii="宋体" w:hAnsi="宋体" w:eastAsia="宋体" w:cs="宋体"/>
          <w:sz w:val="28"/>
          <w:szCs w:val="28"/>
        </w:rPr>
        <w:t>。</w:t>
      </w:r>
    </w:p>
    <w:p w14:paraId="34984FAA">
      <w:pPr>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信用要求：投标人未被列入失信被执行人、重大税收违法失信主体，未被列入政府采购严重违法失信行为记录名单。</w:t>
      </w:r>
    </w:p>
    <w:p w14:paraId="1BA1DED2">
      <w:pPr>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其他要求：本项目不接受联合体投标，不允许分包、转包本项目</w:t>
      </w:r>
      <w:r>
        <w:rPr>
          <w:rFonts w:hint="eastAsia" w:ascii="宋体" w:hAnsi="宋体" w:eastAsia="宋体" w:cs="宋体"/>
          <w:sz w:val="28"/>
          <w:szCs w:val="28"/>
          <w:lang w:val="en-US" w:eastAsia="zh-CN"/>
        </w:rPr>
        <w:t>结算审核</w:t>
      </w:r>
      <w:r>
        <w:rPr>
          <w:rFonts w:hint="eastAsia" w:ascii="宋体" w:hAnsi="宋体" w:eastAsia="宋体" w:cs="宋体"/>
          <w:sz w:val="28"/>
          <w:szCs w:val="28"/>
        </w:rPr>
        <w:t>服务。</w:t>
      </w:r>
    </w:p>
    <w:p w14:paraId="4A0DB377">
      <w:pPr>
        <w:jc w:val="left"/>
        <w:rPr>
          <w:rFonts w:hint="eastAsia" w:asciiTheme="minorEastAsia" w:hAnsiTheme="minorEastAsia" w:eastAsiaTheme="minorEastAsia" w:cstheme="minorEastAsia"/>
          <w:sz w:val="28"/>
          <w:szCs w:val="28"/>
        </w:rPr>
      </w:pPr>
      <w:r>
        <w:rPr>
          <w:rFonts w:hint="eastAsia" w:ascii="宋体" w:hAnsi="宋体" w:eastAsia="宋体" w:cs="宋体"/>
          <w:sz w:val="28"/>
          <w:szCs w:val="28"/>
          <w:lang w:val="en-US" w:eastAsia="zh-CN"/>
        </w:rPr>
        <w:t>6.</w:t>
      </w:r>
      <w:r>
        <w:rPr>
          <w:rFonts w:hint="eastAsia" w:asciiTheme="minorEastAsia" w:hAnsiTheme="minorEastAsia" w:eastAsiaTheme="minorEastAsia" w:cstheme="minorEastAsia"/>
          <w:sz w:val="28"/>
          <w:szCs w:val="28"/>
        </w:rPr>
        <w:t>为本采购项目提供整体设计、规范编制或者项目管理、监理、检测等服务的，不得再参加本项目的其他招标采购活动。</w:t>
      </w:r>
    </w:p>
    <w:p w14:paraId="5DFEB92C">
      <w:pPr>
        <w:jc w:val="lef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w:t>
      </w:r>
      <w:r>
        <w:rPr>
          <w:rFonts w:hint="eastAsia" w:asciiTheme="minorEastAsia" w:hAnsiTheme="minorEastAsia" w:eastAsiaTheme="minorEastAsia" w:cstheme="minorEastAsia"/>
          <w:sz w:val="28"/>
          <w:szCs w:val="28"/>
        </w:rPr>
        <w:t>落实政府采购政策需满足的资格要求：本项目专门面向中小企业，采购标的对应的企业划分标准所属行业为</w:t>
      </w:r>
      <w:r>
        <w:rPr>
          <w:rFonts w:hint="eastAsia" w:asciiTheme="minorEastAsia" w:hAnsiTheme="minorEastAsia" w:eastAsiaTheme="minorEastAsia" w:cstheme="minorEastAsia"/>
          <w:sz w:val="28"/>
          <w:szCs w:val="28"/>
          <w:lang w:val="en-US" w:eastAsia="zh-CN"/>
        </w:rPr>
        <w:t>其他未列明行业</w:t>
      </w:r>
      <w:r>
        <w:rPr>
          <w:rFonts w:hint="eastAsia" w:asciiTheme="minorEastAsia" w:hAnsiTheme="minorEastAsia" w:eastAsiaTheme="minorEastAsia" w:cstheme="minorEastAsia"/>
          <w:sz w:val="28"/>
          <w:szCs w:val="28"/>
        </w:rPr>
        <w:t>。供应商须提供《政府采购促进中小企业发展管理办法》（财库[2020]46号）规定的《中小企业声明函》。监狱企业、残疾人福利性单位视同小微企业，供应商如是监狱企业或是残疾人福利性单位，须提供监狱企业证明文件或《残疾人福利性单位声明函》</w:t>
      </w:r>
      <w:r>
        <w:rPr>
          <w:rFonts w:hint="eastAsia" w:asciiTheme="minorEastAsia" w:hAnsiTheme="minorEastAsia" w:cstheme="minorEastAsia"/>
          <w:sz w:val="28"/>
          <w:szCs w:val="28"/>
          <w:lang w:eastAsia="zh-CN"/>
        </w:rPr>
        <w:t>。</w:t>
      </w:r>
    </w:p>
    <w:p w14:paraId="1F80365C">
      <w:pPr>
        <w:rPr>
          <w:rFonts w:hint="default"/>
          <w:lang w:val="en-US" w:eastAsia="zh-CN"/>
        </w:rPr>
      </w:pP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EDD9C8"/>
    <w:multiLevelType w:val="singleLevel"/>
    <w:tmpl w:val="DFEDD9C8"/>
    <w:lvl w:ilvl="0" w:tentative="0">
      <w:start w:val="1"/>
      <w:numFmt w:val="decimal"/>
      <w:suff w:val="nothing"/>
      <w:lvlText w:val="%1."/>
      <w:lvlJc w:val="left"/>
    </w:lvl>
  </w:abstractNum>
  <w:abstractNum w:abstractNumId="1">
    <w:nsid w:val="1F32685A"/>
    <w:multiLevelType w:val="multilevel"/>
    <w:tmpl w:val="1F32685A"/>
    <w:lvl w:ilvl="0" w:tentative="0">
      <w:start w:val="1"/>
      <w:numFmt w:val="decimal"/>
      <w:pStyle w:val="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27DAC76E"/>
    <w:multiLevelType w:val="singleLevel"/>
    <w:tmpl w:val="27DAC76E"/>
    <w:lvl w:ilvl="0" w:tentative="0">
      <w:start w:val="1"/>
      <w:numFmt w:val="decimal"/>
      <w:suff w:val="nothing"/>
      <w:lvlText w:val="%1．"/>
      <w:lvlJc w:val="left"/>
    </w:lvl>
  </w:abstractNum>
  <w:abstractNum w:abstractNumId="3">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3E92D7B"/>
    <w:rsid w:val="04D82D0C"/>
    <w:rsid w:val="066045AF"/>
    <w:rsid w:val="0741016E"/>
    <w:rsid w:val="08B1769A"/>
    <w:rsid w:val="09474D20"/>
    <w:rsid w:val="0B8F3DEA"/>
    <w:rsid w:val="0DD759F4"/>
    <w:rsid w:val="0E63197E"/>
    <w:rsid w:val="0E670397"/>
    <w:rsid w:val="0F047A89"/>
    <w:rsid w:val="0F37357E"/>
    <w:rsid w:val="103A04BC"/>
    <w:rsid w:val="10BA7ADB"/>
    <w:rsid w:val="11407D54"/>
    <w:rsid w:val="116740A1"/>
    <w:rsid w:val="12312715"/>
    <w:rsid w:val="12DB66FD"/>
    <w:rsid w:val="130F5C30"/>
    <w:rsid w:val="141F5781"/>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3675E7"/>
    <w:rsid w:val="21AC3DB3"/>
    <w:rsid w:val="221C5952"/>
    <w:rsid w:val="22F83EA3"/>
    <w:rsid w:val="251D54C7"/>
    <w:rsid w:val="25473410"/>
    <w:rsid w:val="264A07EB"/>
    <w:rsid w:val="27B468BB"/>
    <w:rsid w:val="28911F2D"/>
    <w:rsid w:val="28FB6912"/>
    <w:rsid w:val="293715E5"/>
    <w:rsid w:val="293E4730"/>
    <w:rsid w:val="29435826"/>
    <w:rsid w:val="2BC80D77"/>
    <w:rsid w:val="2BF11769"/>
    <w:rsid w:val="2C5D1363"/>
    <w:rsid w:val="2CF717B7"/>
    <w:rsid w:val="2D9D5991"/>
    <w:rsid w:val="2E1161C9"/>
    <w:rsid w:val="2FF574D3"/>
    <w:rsid w:val="302723B3"/>
    <w:rsid w:val="3165187F"/>
    <w:rsid w:val="321C52F6"/>
    <w:rsid w:val="33852335"/>
    <w:rsid w:val="33BF7284"/>
    <w:rsid w:val="34A664F8"/>
    <w:rsid w:val="34FD096D"/>
    <w:rsid w:val="3515301D"/>
    <w:rsid w:val="36ED530F"/>
    <w:rsid w:val="397A79F8"/>
    <w:rsid w:val="3AD35612"/>
    <w:rsid w:val="3C264863"/>
    <w:rsid w:val="3C6908E7"/>
    <w:rsid w:val="3CDF1E8E"/>
    <w:rsid w:val="3DCC1CEF"/>
    <w:rsid w:val="3DEE5B9F"/>
    <w:rsid w:val="3DF74328"/>
    <w:rsid w:val="3E637A73"/>
    <w:rsid w:val="3E9D5936"/>
    <w:rsid w:val="3EBE6087"/>
    <w:rsid w:val="40CE4C5A"/>
    <w:rsid w:val="40F3505F"/>
    <w:rsid w:val="41AE2E46"/>
    <w:rsid w:val="42C421E7"/>
    <w:rsid w:val="42F308B1"/>
    <w:rsid w:val="43CA7ECB"/>
    <w:rsid w:val="454951BB"/>
    <w:rsid w:val="45736390"/>
    <w:rsid w:val="457E74C5"/>
    <w:rsid w:val="469031CB"/>
    <w:rsid w:val="47173184"/>
    <w:rsid w:val="486E604D"/>
    <w:rsid w:val="491A0EBA"/>
    <w:rsid w:val="4A3C2F86"/>
    <w:rsid w:val="4A7B1CDE"/>
    <w:rsid w:val="4DB03590"/>
    <w:rsid w:val="52482D74"/>
    <w:rsid w:val="5692056C"/>
    <w:rsid w:val="57311572"/>
    <w:rsid w:val="57760F4E"/>
    <w:rsid w:val="594D2BA0"/>
    <w:rsid w:val="5ABD1400"/>
    <w:rsid w:val="5B4869ED"/>
    <w:rsid w:val="5C0E0E83"/>
    <w:rsid w:val="5C966047"/>
    <w:rsid w:val="5D786D1A"/>
    <w:rsid w:val="5E2E4B05"/>
    <w:rsid w:val="5E3F7487"/>
    <w:rsid w:val="5F545483"/>
    <w:rsid w:val="5FF367BA"/>
    <w:rsid w:val="614926D5"/>
    <w:rsid w:val="62451451"/>
    <w:rsid w:val="62E23157"/>
    <w:rsid w:val="634A17BF"/>
    <w:rsid w:val="637820DD"/>
    <w:rsid w:val="63C05E4E"/>
    <w:rsid w:val="64104F27"/>
    <w:rsid w:val="64842452"/>
    <w:rsid w:val="652135E5"/>
    <w:rsid w:val="666C6A4D"/>
    <w:rsid w:val="668110D4"/>
    <w:rsid w:val="67305A2B"/>
    <w:rsid w:val="67892A30"/>
    <w:rsid w:val="678C42CF"/>
    <w:rsid w:val="68F05856"/>
    <w:rsid w:val="69E00902"/>
    <w:rsid w:val="69EC6364"/>
    <w:rsid w:val="6A40548C"/>
    <w:rsid w:val="6B126E3A"/>
    <w:rsid w:val="6B880FF7"/>
    <w:rsid w:val="6C6B28EF"/>
    <w:rsid w:val="6DFF6DF1"/>
    <w:rsid w:val="6FAA5C3A"/>
    <w:rsid w:val="753B7125"/>
    <w:rsid w:val="75B72D8C"/>
    <w:rsid w:val="768D2C66"/>
    <w:rsid w:val="772A798F"/>
    <w:rsid w:val="7A1F14AE"/>
    <w:rsid w:val="7A466372"/>
    <w:rsid w:val="7B6312FE"/>
    <w:rsid w:val="7C3C22F1"/>
    <w:rsid w:val="7C7B0A73"/>
    <w:rsid w:val="7CBD259D"/>
    <w:rsid w:val="7D160CBB"/>
    <w:rsid w:val="7DFB58B2"/>
    <w:rsid w:val="7E5362E8"/>
    <w:rsid w:val="7EB469B8"/>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Block Text"/>
    <w:basedOn w:val="1"/>
    <w:qFormat/>
    <w:uiPriority w:val="99"/>
    <w:pPr>
      <w:ind w:left="420" w:right="33"/>
      <w:textAlignment w:val="baseline"/>
    </w:pPr>
    <w:rPr>
      <w:sz w:val="24"/>
    </w:rPr>
  </w:style>
  <w:style w:type="paragraph" w:styleId="14">
    <w:name w:val="Plain Text"/>
    <w:basedOn w:val="1"/>
    <w:qFormat/>
    <w:uiPriority w:val="0"/>
    <w:rPr>
      <w:rFonts w:ascii="宋体" w:hAnsi="Courier New"/>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unhideWhenUsed/>
    <w:qFormat/>
    <w:uiPriority w:val="99"/>
    <w:pPr>
      <w:tabs>
        <w:tab w:val="center" w:pos="4153"/>
        <w:tab w:val="right" w:pos="8306"/>
      </w:tabs>
      <w:snapToGrid w:val="0"/>
      <w:jc w:val="center"/>
    </w:pPr>
    <w:rPr>
      <w:sz w:val="18"/>
      <w:szCs w:val="18"/>
    </w:rPr>
  </w:style>
  <w:style w:type="paragraph" w:styleId="17">
    <w:name w:val="toc 1"/>
    <w:basedOn w:val="1"/>
    <w:next w:val="1"/>
    <w:unhideWhenUsed/>
    <w:qFormat/>
    <w:uiPriority w:val="1"/>
  </w:style>
  <w:style w:type="paragraph" w:styleId="18">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9">
    <w:name w:val="toc 6"/>
    <w:basedOn w:val="1"/>
    <w:next w:val="1"/>
    <w:unhideWhenUsed/>
    <w:qFormat/>
    <w:uiPriority w:val="39"/>
    <w:pPr>
      <w:spacing w:line="360" w:lineRule="auto"/>
      <w:ind w:left="1200"/>
      <w:jc w:val="left"/>
    </w:pPr>
    <w:rPr>
      <w:rFonts w:hAnsi="宋体" w:eastAsiaTheme="minorHAnsi"/>
      <w:sz w:val="18"/>
      <w:szCs w:val="18"/>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qFormat/>
    <w:uiPriority w:val="0"/>
    <w:rPr>
      <w:sz w:val="24"/>
    </w:rPr>
  </w:style>
  <w:style w:type="paragraph" w:styleId="22">
    <w:name w:val="Body Text First Indent"/>
    <w:basedOn w:val="12"/>
    <w:next w:val="19"/>
    <w:qFormat/>
    <w:uiPriority w:val="0"/>
    <w:pPr>
      <w:ind w:firstLine="420" w:firstLineChars="100"/>
    </w:pPr>
  </w:style>
  <w:style w:type="table" w:styleId="24">
    <w:name w:val="Table Grid"/>
    <w:basedOn w:val="23"/>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0"/>
    <w:rPr>
      <w:b/>
      <w:bCs/>
    </w:rPr>
  </w:style>
  <w:style w:type="paragraph" w:customStyle="1" w:styleId="27">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8">
    <w:name w:val="No Spacing1"/>
    <w:basedOn w:val="1"/>
    <w:qFormat/>
    <w:uiPriority w:val="1"/>
    <w:pPr>
      <w:spacing w:line="400" w:lineRule="exact"/>
    </w:pPr>
    <w:rPr>
      <w:sz w:val="24"/>
    </w:rPr>
  </w:style>
  <w:style w:type="paragraph" w:customStyle="1" w:styleId="29">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30">
    <w:name w:val="U_正文2"/>
    <w:basedOn w:val="1"/>
    <w:qFormat/>
    <w:uiPriority w:val="0"/>
    <w:pPr>
      <w:spacing w:before="10" w:beforeLines="10" w:after="10" w:afterLines="10" w:line="300" w:lineRule="auto"/>
    </w:pPr>
    <w:rPr>
      <w:sz w:val="24"/>
      <w:szCs w:val="20"/>
    </w:rPr>
  </w:style>
  <w:style w:type="paragraph" w:customStyle="1" w:styleId="31">
    <w:name w:val="U_正文"/>
    <w:basedOn w:val="1"/>
    <w:qFormat/>
    <w:uiPriority w:val="0"/>
    <w:pPr>
      <w:spacing w:before="20" w:beforeLines="20" w:after="20" w:afterLines="20" w:line="300" w:lineRule="auto"/>
      <w:ind w:firstLine="200" w:firstLineChars="200"/>
    </w:pPr>
    <w:rPr>
      <w:sz w:val="24"/>
      <w:szCs w:val="20"/>
    </w:rPr>
  </w:style>
  <w:style w:type="paragraph" w:customStyle="1" w:styleId="32">
    <w:name w:val="Table Paragraph"/>
    <w:basedOn w:val="1"/>
    <w:qFormat/>
    <w:uiPriority w:val="1"/>
    <w:rPr>
      <w:rFonts w:ascii="宋体" w:hAnsi="宋体" w:eastAsia="宋体" w:cs="宋体"/>
    </w:rPr>
  </w:style>
  <w:style w:type="character" w:customStyle="1" w:styleId="33">
    <w:name w:val="font31"/>
    <w:basedOn w:val="25"/>
    <w:qFormat/>
    <w:uiPriority w:val="0"/>
    <w:rPr>
      <w:rFonts w:hint="eastAsia" w:ascii="宋体" w:hAnsi="宋体" w:eastAsia="宋体" w:cs="宋体"/>
      <w:color w:val="000000"/>
      <w:sz w:val="28"/>
      <w:szCs w:val="28"/>
      <w:u w:val="none"/>
    </w:rPr>
  </w:style>
  <w:style w:type="paragraph" w:styleId="34">
    <w:name w:val="List Paragraph"/>
    <w:basedOn w:val="1"/>
    <w:qFormat/>
    <w:uiPriority w:val="34"/>
    <w:pPr>
      <w:ind w:firstLine="420" w:firstLineChars="200"/>
    </w:pPr>
  </w:style>
  <w:style w:type="paragraph" w:customStyle="1" w:styleId="35">
    <w:name w:val="Table Text"/>
    <w:basedOn w:val="1"/>
    <w:semiHidden/>
    <w:qFormat/>
    <w:uiPriority w:val="0"/>
    <w:rPr>
      <w:rFonts w:ascii="宋体" w:hAnsi="宋体" w:eastAsia="宋体" w:cs="宋体"/>
      <w:sz w:val="24"/>
      <w:szCs w:val="24"/>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标题4"/>
    <w:basedOn w:val="5"/>
    <w:qFormat/>
    <w:uiPriority w:val="0"/>
    <w:rPr>
      <w:rFonts w:ascii="Arial" w:hAnsi="Arial" w:eastAsia="黑体"/>
      <w:szCs w:val="20"/>
    </w:rPr>
  </w:style>
  <w:style w:type="table" w:customStyle="1" w:styleId="38">
    <w:name w:val="网格型6"/>
    <w:basedOn w:val="23"/>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9">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40">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1">
    <w:name w:val="font41"/>
    <w:basedOn w:val="25"/>
    <w:qFormat/>
    <w:uiPriority w:val="0"/>
    <w:rPr>
      <w:rFonts w:hint="eastAsia" w:ascii="宋体" w:hAnsi="宋体" w:eastAsia="宋体" w:cs="宋体"/>
      <w:color w:val="000000"/>
      <w:sz w:val="22"/>
      <w:szCs w:val="22"/>
      <w:u w:val="none"/>
    </w:rPr>
  </w:style>
  <w:style w:type="character" w:customStyle="1" w:styleId="42">
    <w:name w:val="font01"/>
    <w:basedOn w:val="25"/>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3</Pages>
  <Words>1483</Words>
  <Characters>1739</Characters>
  <Lines>0</Lines>
  <Paragraphs>0</Paragraphs>
  <TotalTime>0</TotalTime>
  <ScaleCrop>false</ScaleCrop>
  <LinksUpToDate>false</LinksUpToDate>
  <CharactersWithSpaces>1742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2026-11-06T00:20:28Z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